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Arnold van Zyl (born April 1, 1959 in Swellendam, South Africa)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President of the Baden-Württemberg University of Applied Sciences/Duale Hochschule Baden-Württemberg (DHBW)</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An engineer and university lecturer. From 2012 to 2015 he was rector of the Technical University of Chemnitz. Since 1 February 2016 he is the President of the Baden-Württemberg University of Applied Sciences.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Mr Johannes Haas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Head of Department of the co-op study programme “Production Technology and Organization“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 FH Joanneum University of Applied Sciences in Gratz.</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Head of Degree Programme, at FH Joanneum University of Applied Sciences in Gratz.</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Partner in a number of European projects. He was the designer of the first cooperative education programme in Austrian HE in1999-2002.   Since September 2002 he is, Head of Department of the co-op study programme “Production Technology and Organization“ and since 2007 Member of the Board of Governors of WACE (World Association of Cooperative Education) and since 2008 Speaker of the FH JOANNEUM School of Information, Design and Technologies.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Katharina Maschke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Head of section “Strategic development and higher education policy”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German Academic Exchange Services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M.A., works at the German Academic Exchange Services (DAAD) since 2011; since April 2016 she serves as head of section “Strategic development and higher education policy”. One of her main focus areas during the last years was the internationalisation of dual study programmes. In this field, she coordinated the publication “Dual Study Programmes in Global Context: Internationalisation in Germany and Transfer to Brazil, France, Qatar, Mexico and the US”. Katharina holds a double-degree in political and social sciences from the University of Stuttgart and Sciences Po Bordeaux.</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Sarah Leopold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Business Training –Coordinator </w:t>
      </w:r>
    </w:p>
    <w:p w:rsidR="00000000" w:rsidDel="00000000" w:rsidP="00000000" w:rsidRDefault="00000000" w:rsidRPr="00000000">
      <w:pPr>
        <w:keepNext w:val="1"/>
        <w:pBdr>
          <w:top w:space="0" w:sz="0" w:val="nil"/>
          <w:left w:space="0" w:sz="0" w:val="nil"/>
          <w:bottom w:space="0" w:sz="0" w:val="nil"/>
          <w:right w:space="0" w:sz="0" w:val="nil"/>
          <w:between w:space="0" w:sz="0" w:val="nil"/>
        </w:pBdr>
        <w:contextualSpacing w:val="0"/>
        <w:rPr>
          <w:b w:val="1"/>
        </w:rPr>
      </w:pPr>
      <w:r w:rsidDel="00000000" w:rsidR="00000000" w:rsidRPr="00000000">
        <w:rPr>
          <w:rFonts w:ascii="Arial" w:cs="Arial" w:eastAsia="Arial" w:hAnsi="Arial"/>
          <w:b w:val="1"/>
          <w:color w:val="000000"/>
          <w:sz w:val="20"/>
          <w:szCs w:val="20"/>
          <w:rtl w:val="0"/>
        </w:rPr>
        <w:t xml:space="preserve">Bayer Pharma AG</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She deals with disciplinary supervision of apprentices within business training, works with the conception/ optimization of recruiting instruments, accomplishment of internal seminars focusing on soft skills and generic competencies, Supervisor of apprentices, students and interns </w:t>
      </w:r>
    </w:p>
    <w:p w:rsidR="00000000" w:rsidDel="00000000" w:rsidP="00000000" w:rsidRDefault="00000000" w:rsidRPr="00000000">
      <w:pPr>
        <w:pBdr>
          <w:top w:space="0" w:sz="0" w:val="nil"/>
          <w:left w:space="0" w:sz="0" w:val="nil"/>
          <w:bottom w:space="0" w:sz="0" w:val="nil"/>
          <w:right w:space="0" w:sz="0" w:val="nil"/>
          <w:between w:space="0" w:sz="0" w:val="nil"/>
        </w:pBdr>
        <w:spacing w:after="0" w:before="0" w:line="240" w:lineRule="auto"/>
        <w:contextualSpacing w:val="0"/>
        <w:rPr>
          <w:rFonts w:ascii="Calibri" w:cs="Calibri" w:eastAsia="Calibri" w:hAnsi="Calibri"/>
          <w:b w:val="0"/>
          <w:color w:val="000000"/>
          <w:sz w:val="22"/>
          <w:szCs w:val="22"/>
        </w:rPr>
      </w:pPr>
      <w:r w:rsidDel="00000000" w:rsidR="00000000" w:rsidRPr="00000000">
        <w:rPr>
          <w:rFonts w:ascii="Calibri" w:cs="Calibri" w:eastAsia="Calibri" w:hAnsi="Calibri"/>
          <w:b w:val="0"/>
          <w:color w:val="000000"/>
          <w:sz w:val="22"/>
          <w:szCs w:val="22"/>
          <w:rtl w:val="0"/>
        </w:rPr>
        <w:t xml:space="preserve">Participation int he examination board at the Berlin School of Economic and Law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Sophia Overbeeke –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Team Leader for Education Advice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b w:val="1"/>
          <w:rtl w:val="0"/>
        </w:rPr>
        <w:t xml:space="preserve"> Windesheim Flevoland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In this role she works on the continuous improvement of practical learning (part of the educational concept of Windesheim Flevoland). This involves the operationalization and improvement of the educational concept, setting up training sessions for teachers and practical trainers, supporting programs in their educational development and advising the MT Windesheim Flevoland, quartermaster comakership.</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Zoltán Kolozsváry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Managing Director , President of the Board,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SC. Plasmaterm S.A</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Associated Professor at “Petru Maior” University Tg.Mures, from 1996 at the” Sapientia” University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Fellow of the International Federation for Heat Treatment and Surface Engineering 2008, Doctor Honoris Causa Miskolc University  2012, Honorary Member of the Romanian Academy of Technical Sciences, Honorary member of Hungarian Academy of Engineering, Honorary member of the Russian Society for Metalurgy, member of the Materials Science group of the Hungarian Academy of Sciences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More than 200 scientific publication in 8 languages, 14 patents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Dr. János Rudnay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President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Dual Education Council</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Dr. László Palkovics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State Secretary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Ministry of Human Capacities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Ádám Szigeti</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Chief Policy Adviser at Ministry of Human Resources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Ministry of Human Resources</w:t>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