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C1" w:rsidRPr="00943DC2" w:rsidRDefault="00F47237" w:rsidP="00F24DC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Egyenes összekötő nyíllal 1" o:spid="_x0000_s1027" type="#_x0000_t32" style="position:absolute;margin-left:3.95pt;margin-top:.8pt;width:749.2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" strokecolor="#8cb335" strokeweight="1.5pt"/>
        </w:pict>
      </w:r>
    </w:p>
    <w:p w:rsidR="00F24DC1" w:rsidRPr="00943DC2" w:rsidRDefault="00F24DC1" w:rsidP="00F24DC1">
      <w:pPr>
        <w:spacing w:before="240" w:after="120"/>
        <w:jc w:val="center"/>
      </w:pPr>
      <w:r w:rsidRPr="00943DC2">
        <w:rPr>
          <w:b/>
        </w:rPr>
        <w:t>A képzési program célja</w:t>
      </w:r>
    </w:p>
    <w:tbl>
      <w:tblPr>
        <w:tblW w:w="0" w:type="auto"/>
        <w:jc w:val="center"/>
        <w:tblInd w:w="-2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39"/>
      </w:tblGrid>
      <w:tr w:rsidR="00F24DC1" w:rsidRPr="00943DC2" w:rsidTr="002151AD">
        <w:trPr>
          <w:trHeight w:val="2068"/>
          <w:jc w:val="center"/>
        </w:trPr>
        <w:tc>
          <w:tcPr>
            <w:tcW w:w="13439" w:type="dxa"/>
          </w:tcPr>
          <w:p w:rsidR="00F24DC1" w:rsidRPr="00943DC2" w:rsidRDefault="00F24DC1" w:rsidP="002151AD">
            <w:pPr>
              <w:spacing w:before="60" w:after="60"/>
              <w:ind w:left="-107"/>
              <w:jc w:val="both"/>
            </w:pPr>
            <w:r w:rsidRPr="00943DC2">
              <w:t xml:space="preserve">A </w:t>
            </w:r>
            <w:proofErr w:type="spellStart"/>
            <w:r w:rsidRPr="00943DC2">
              <w:t>pszichoszociális</w:t>
            </w:r>
            <w:proofErr w:type="spellEnd"/>
            <w:r w:rsidRPr="00943DC2">
              <w:t xml:space="preserve"> fogyatékos személyek önrendelkező, állapotukhoz mérten a lehető legteljesebb életminőségre történő felkészítés, mely kiterjed személyi-, közösségi-, és társadalmi szintekre. </w:t>
            </w:r>
          </w:p>
          <w:p w:rsidR="00F24DC1" w:rsidRPr="00943DC2" w:rsidRDefault="00F24DC1" w:rsidP="002151AD">
            <w:pPr>
              <w:spacing w:before="60" w:after="60"/>
              <w:ind w:left="-107"/>
              <w:jc w:val="both"/>
            </w:pPr>
            <w:r>
              <w:t xml:space="preserve">A BETEGSÉG MENEDZSMENT című képzés célja, </w:t>
            </w:r>
            <w:r w:rsidRPr="00761B00">
              <w:t xml:space="preserve">hogy a </w:t>
            </w:r>
            <w:proofErr w:type="spellStart"/>
            <w:r w:rsidRPr="00761B00">
              <w:t>pszichoszociális</w:t>
            </w:r>
            <w:proofErr w:type="spellEnd"/>
            <w:r w:rsidRPr="00761B00">
              <w:t xml:space="preserve"> fogyaté</w:t>
            </w:r>
            <w:r>
              <w:t xml:space="preserve">kos személyek birtokában legyenek a betegségükkel kapcsolatos szükséges tudásnak, és így képessé váljanak a korai figyelmeztető tünetek, valamint azok megjelenési formáinak felismerésére, a tünetek kezelésére. Továbbá kialakuljon bennük egy felelősségteljes gondolkodás a gyógyszerek szedésének szükséges és hasznos voltára vonatkozólag, tisztában legyenek a gyógyszerbeszedés elmulasztásának, illetve a gyógyszerek túlzott adagolásának káros következményeivel, tudják és értsék, hogy miért kell szedniük az adott gyógyszereket, és ez miért szolgálja az ő érdekeiket. Tisztában legyenek betegségük esetleges előnyeivel és hátrányaival, továbbá külön tudják választani egymástól személyiségüket és betegségüket. Megtanulják elfogadni betegségüket, és </w:t>
            </w:r>
            <w:proofErr w:type="gramStart"/>
            <w:r>
              <w:t>megtanuljanak</w:t>
            </w:r>
            <w:proofErr w:type="gramEnd"/>
            <w:r>
              <w:t xml:space="preserve"> együtt élni vele. Tudatában legyenek annak, hogy mások életére milyen hatással lehet betegségük, és ez által jobban megértsék </w:t>
            </w:r>
            <w:proofErr w:type="gramStart"/>
            <w:r>
              <w:t>környezetük feléjük</w:t>
            </w:r>
            <w:proofErr w:type="gramEnd"/>
            <w:r>
              <w:t xml:space="preserve"> tanúsított viselkedését. Kontrollálni tudják saját érzelmeiket, gondolataikat, agressziójukat, tiszteljék saját maguk és embertársaik testi-lelki épségét és életét. </w:t>
            </w:r>
          </w:p>
        </w:tc>
      </w:tr>
    </w:tbl>
    <w:p w:rsidR="00F24DC1" w:rsidRPr="00943DC2" w:rsidRDefault="00F24DC1" w:rsidP="00F24DC1">
      <w:pPr>
        <w:spacing w:before="240" w:after="120"/>
        <w:jc w:val="center"/>
      </w:pPr>
      <w:r w:rsidRPr="00943DC2">
        <w:rPr>
          <w:b/>
        </w:rPr>
        <w:t>Tartalmi követelmények</w:t>
      </w:r>
    </w:p>
    <w:p w:rsidR="00F24DC1" w:rsidRPr="00943DC2" w:rsidRDefault="00F24DC1" w:rsidP="00F24DC1">
      <w:pPr>
        <w:spacing w:before="240" w:after="120"/>
        <w:jc w:val="center"/>
      </w:pPr>
      <w:r w:rsidRPr="00943DC2">
        <w:rPr>
          <w:i/>
        </w:rPr>
        <w:t>Azoknak a követelményeknek a meghatározása, amelyek együttes érvényesülése a képzési cél teljesülését feltételezi, s amely követelmények teljesítése a képzés számonkérési rendszerével mérhető, igazolható.</w:t>
      </w:r>
    </w:p>
    <w:tbl>
      <w:tblPr>
        <w:tblW w:w="13466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F24DC1" w:rsidRPr="00943DC2" w:rsidTr="006A3F13">
        <w:trPr>
          <w:cantSplit/>
          <w:trHeight w:val="1642"/>
        </w:trPr>
        <w:tc>
          <w:tcPr>
            <w:tcW w:w="13466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jc w:val="both"/>
            </w:pPr>
            <w:r w:rsidRPr="006001DB">
              <w:rPr>
                <w:b/>
              </w:rPr>
              <w:t>Ismerje</w:t>
            </w:r>
            <w:r w:rsidRPr="00943DC2">
              <w:t xml:space="preserve">: </w:t>
            </w:r>
          </w:p>
          <w:p w:rsidR="00F847AD" w:rsidRDefault="00F24DC1" w:rsidP="002151AD">
            <w:pPr>
              <w:jc w:val="both"/>
            </w:pPr>
            <w:r w:rsidRPr="00943DC2">
              <w:t>Rendelkezzen azon ismeretekkel, amelyek segítik a pszichés betegséggel való együttélést, a betegségből adódó nehéz helyzetek önálló befolyásolását, megoldását. Ismerje fel betegségének korai tüneteit, betegségével kapcsolatos ismeretei bővüljenek, betegségtudata kialakuljon, a felépülés lehetőségeit ismerje meg. Legyen tisztába</w:t>
            </w:r>
            <w:r w:rsidR="00F847AD">
              <w:t>n saját teste alapvető működésé</w:t>
            </w:r>
            <w:r w:rsidRPr="00943DC2">
              <w:t>vel.</w:t>
            </w:r>
            <w:r w:rsidR="00F847AD" w:rsidRPr="00943DC2">
              <w:t xml:space="preserve"> </w:t>
            </w:r>
          </w:p>
          <w:p w:rsidR="00F24DC1" w:rsidRPr="00943DC2" w:rsidRDefault="00F847AD" w:rsidP="002151AD">
            <w:pPr>
              <w:jc w:val="both"/>
            </w:pPr>
            <w:r w:rsidRPr="00943DC2">
              <w:t>Legyen tapasztalata, jártassága a szociális/egészségügyi intézményrendszer működésével kapcsolatban.</w:t>
            </w:r>
          </w:p>
        </w:tc>
      </w:tr>
      <w:tr w:rsidR="00F24DC1" w:rsidRPr="00943DC2" w:rsidTr="002151AD">
        <w:trPr>
          <w:cantSplit/>
          <w:trHeight w:val="1118"/>
        </w:trPr>
        <w:tc>
          <w:tcPr>
            <w:tcW w:w="13466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jc w:val="both"/>
            </w:pPr>
            <w:r w:rsidRPr="006001DB">
              <w:rPr>
                <w:b/>
              </w:rPr>
              <w:lastRenderedPageBreak/>
              <w:t>Legyen képes</w:t>
            </w:r>
            <w:r w:rsidRPr="00943DC2">
              <w:t>:</w:t>
            </w:r>
          </w:p>
          <w:p w:rsidR="00F24DC1" w:rsidRPr="00943DC2" w:rsidRDefault="00F24DC1" w:rsidP="002151AD">
            <w:pPr>
              <w:jc w:val="both"/>
            </w:pPr>
            <w:r w:rsidRPr="00943DC2">
              <w:t>Az egészséges életvitel kialakítására, életmódjára vonatkozóan helyes döntéseket hozni</w:t>
            </w:r>
            <w:r>
              <w:t>, és a meglévő képességei</w:t>
            </w:r>
            <w:r w:rsidRPr="00943DC2">
              <w:t xml:space="preserve"> fenntartására, fejlesztésére, a fizikai erőnlét megőrzésére, rendszeres mozgásra. </w:t>
            </w:r>
          </w:p>
          <w:p w:rsidR="00F24DC1" w:rsidRPr="00943DC2" w:rsidRDefault="00F24DC1" w:rsidP="006A3F13">
            <w:pPr>
              <w:jc w:val="both"/>
            </w:pPr>
            <w:r w:rsidRPr="00943DC2">
              <w:t>Képes legyen a függőségből való kiszakadásra, önmaga és mások elfogadására. Legyen képes betegsége jellemzőinek megértésére, a visszaesést jelző korai figyelmeztető tünetek, agresszív gondolatok, késztetések felismerésére, és ezek jelentkezésekor a segítségkérésre, a kezelőo</w:t>
            </w:r>
            <w:r w:rsidR="006A3F13">
              <w:t xml:space="preserve">rvossal történő együttműködésre, gyógyszer </w:t>
            </w:r>
            <w:proofErr w:type="spellStart"/>
            <w:r w:rsidR="006A3F13">
              <w:t>compliance</w:t>
            </w:r>
            <w:proofErr w:type="spellEnd"/>
            <w:r w:rsidR="006A3F13">
              <w:t>.</w:t>
            </w:r>
          </w:p>
        </w:tc>
      </w:tr>
    </w:tbl>
    <w:p w:rsidR="00F24DC1" w:rsidRPr="00943DC2" w:rsidRDefault="00F24DC1" w:rsidP="00F24DC1">
      <w:pPr>
        <w:spacing w:before="240" w:after="120"/>
        <w:jc w:val="center"/>
      </w:pPr>
      <w:r w:rsidRPr="00943DC2">
        <w:rPr>
          <w:b/>
        </w:rPr>
        <w:t>A képzés során megszerezhető kompetenciák</w:t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1"/>
      </w:tblGrid>
      <w:tr w:rsidR="00F24DC1" w:rsidRPr="00943DC2" w:rsidTr="002151AD">
        <w:trPr>
          <w:trHeight w:val="3236"/>
        </w:trPr>
        <w:tc>
          <w:tcPr>
            <w:tcW w:w="13041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keepNext/>
              <w:spacing w:before="240" w:after="240"/>
              <w:jc w:val="both"/>
              <w:rPr>
                <w:b/>
              </w:rPr>
            </w:pPr>
            <w:r w:rsidRPr="00943DC2">
              <w:rPr>
                <w:b/>
              </w:rPr>
              <w:t>Személyes kompetenciák:</w:t>
            </w:r>
          </w:p>
          <w:p w:rsidR="00F24DC1" w:rsidRDefault="00F24DC1" w:rsidP="002151AD">
            <w:pPr>
              <w:spacing w:after="240"/>
              <w:jc w:val="both"/>
            </w:pPr>
            <w:r w:rsidRPr="00943DC2">
              <w:t>A betegségmenedzsment létfontosságú a felépülésben, ezért ismereteket sajátítanak el a betegségükről, annak jeleiről, a kezelés módjáról és az ezzel kapcsolatos teendőkről. Képessé válnak felismerni a visszatérő tüneteiket és megfelelő időben segítséget kérni.</w:t>
            </w:r>
          </w:p>
          <w:p w:rsidR="00F24DC1" w:rsidRPr="00943DC2" w:rsidRDefault="00F24DC1" w:rsidP="002151AD">
            <w:pPr>
              <w:spacing w:after="240"/>
              <w:jc w:val="both"/>
            </w:pPr>
            <w:r w:rsidRPr="00943DC2">
              <w:t xml:space="preserve">Megtanulják saját viselkedésüket megérteni különböző helyzetekben. Alkalmazkodási- és </w:t>
            </w:r>
            <w:proofErr w:type="spellStart"/>
            <w:r w:rsidRPr="00943DC2">
              <w:t>stressztűrő</w:t>
            </w:r>
            <w:proofErr w:type="spellEnd"/>
            <w:r w:rsidRPr="00943DC2">
              <w:t xml:space="preserve"> képességük fejlődik, különböző technikákat sajátítanak el a szorongás és stressz kezelésére, oldására. Lelki, szellemi és fizikai aktivitásuk nő. Művészi élmények átélése és az alkotás során fejlődnek az önkifejezéssel kapcsolatos kompetenciáik. Önkontrolljuk fejlődik a felelős magatartás elsajátításával. Képessé válnak a személyes és szakmai értékek felismerésére, fejlesztésére. </w:t>
            </w:r>
          </w:p>
          <w:p w:rsidR="00F24DC1" w:rsidRPr="00943DC2" w:rsidRDefault="00F24DC1" w:rsidP="002151AD">
            <w:pPr>
              <w:keepNext/>
              <w:spacing w:before="240" w:after="240"/>
              <w:jc w:val="both"/>
            </w:pPr>
            <w:r w:rsidRPr="00943DC2">
              <w:t>Önállóbbá vállnak, kezdeményező készségük fejlődik, megjelenik az ingerszegény környezetből való kilépés igénye. Képessé válnak a kiegyensúlyozottabb életvezetésre, a szükségleteik meghatározására és kielégítésére, az autonómiára, az önálló döntéshozatalra a célok közötti prioritások meghatározásával, érdekeik képviseletére és érvényesítésére.</w:t>
            </w:r>
          </w:p>
          <w:p w:rsidR="00F24DC1" w:rsidRPr="00943DC2" w:rsidRDefault="00F24DC1" w:rsidP="00F847AD">
            <w:pPr>
              <w:keepNext/>
              <w:spacing w:before="240" w:after="240"/>
              <w:jc w:val="both"/>
            </w:pPr>
            <w:r w:rsidRPr="00943DC2">
              <w:t>A résztvevők az „Enyém a testem” program keretein belül egészségügyi, szexuális felvilágosító ismereteket szereznek. Megismerik az intimitás és a ko</w:t>
            </w:r>
            <w:r w:rsidR="00F847AD">
              <w:t>m</w:t>
            </w:r>
            <w:r w:rsidRPr="00943DC2">
              <w:t>fort zónák fogalmát, párkapcsolatok és társas kapcsolatok kialakításához szükséges kompetenciák</w:t>
            </w:r>
            <w:r w:rsidR="00F847AD">
              <w:t>at szereznek (önismeret, önérté</w:t>
            </w:r>
            <w:r w:rsidRPr="00943DC2">
              <w:t>k</w:t>
            </w:r>
            <w:r w:rsidR="00F847AD">
              <w:t>e</w:t>
            </w:r>
            <w:r w:rsidRPr="00943DC2">
              <w:t xml:space="preserve">lés, betegségtudat, </w:t>
            </w:r>
            <w:proofErr w:type="spellStart"/>
            <w:r w:rsidRPr="00943DC2">
              <w:t>pszichoedukáció</w:t>
            </w:r>
            <w:proofErr w:type="spellEnd"/>
            <w:r w:rsidRPr="00943DC2">
              <w:t xml:space="preserve">). </w:t>
            </w:r>
          </w:p>
        </w:tc>
      </w:tr>
    </w:tbl>
    <w:p w:rsidR="00F24DC1" w:rsidRPr="00943DC2" w:rsidRDefault="00F24DC1" w:rsidP="00F24DC1">
      <w:r w:rsidRPr="00943DC2">
        <w:br w:type="page"/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1"/>
      </w:tblGrid>
      <w:tr w:rsidR="00F24DC1" w:rsidRPr="00943DC2" w:rsidTr="002151AD">
        <w:tc>
          <w:tcPr>
            <w:tcW w:w="13041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keepNext/>
              <w:spacing w:after="240"/>
              <w:jc w:val="both"/>
              <w:rPr>
                <w:b/>
              </w:rPr>
            </w:pPr>
            <w:r w:rsidRPr="00943DC2">
              <w:lastRenderedPageBreak/>
              <w:t xml:space="preserve"> </w:t>
            </w:r>
            <w:r w:rsidRPr="00943DC2">
              <w:rPr>
                <w:b/>
              </w:rPr>
              <w:t>Kognitív kompetenciák:</w:t>
            </w:r>
          </w:p>
          <w:p w:rsidR="00F24DC1" w:rsidRPr="00943DC2" w:rsidRDefault="00F24DC1" w:rsidP="00F847AD">
            <w:pPr>
              <w:keepNext/>
              <w:spacing w:before="240" w:after="240"/>
              <w:jc w:val="both"/>
            </w:pPr>
            <w:r w:rsidRPr="00943DC2">
              <w:t>A képzés során a résztvevők elméleti és gyakorlati tapasztalatokat szereznek meg, elsajátítják a tanulás folyamatát, tanulási képességeik fejlődnek.</w:t>
            </w:r>
            <w:r w:rsidR="00F847AD">
              <w:t xml:space="preserve"> Képessé válnak felmérni betegségü</w:t>
            </w:r>
            <w:r w:rsidR="006A3F13">
              <w:t xml:space="preserve">k állapotát, és a gyógyszer </w:t>
            </w:r>
            <w:proofErr w:type="spellStart"/>
            <w:r w:rsidR="006A3F13">
              <w:t>compliance</w:t>
            </w:r>
            <w:proofErr w:type="spellEnd"/>
            <w:r w:rsidR="006A3F13">
              <w:t xml:space="preserve"> folyamatát.</w:t>
            </w:r>
          </w:p>
        </w:tc>
      </w:tr>
      <w:tr w:rsidR="00F24DC1" w:rsidRPr="00943DC2" w:rsidTr="002151AD">
        <w:tc>
          <w:tcPr>
            <w:tcW w:w="13041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keepNext/>
              <w:spacing w:after="240"/>
              <w:jc w:val="both"/>
              <w:rPr>
                <w:highlight w:val="yellow"/>
              </w:rPr>
            </w:pPr>
            <w:r w:rsidRPr="00943DC2">
              <w:rPr>
                <w:b/>
              </w:rPr>
              <w:t>Problémamegoldó kompetenciák:</w:t>
            </w:r>
            <w:r w:rsidRPr="00943DC2">
              <w:rPr>
                <w:highlight w:val="yellow"/>
              </w:rPr>
              <w:t xml:space="preserve"> </w:t>
            </w:r>
          </w:p>
          <w:p w:rsidR="00F24DC1" w:rsidRPr="00943DC2" w:rsidRDefault="00F24DC1" w:rsidP="002151AD">
            <w:pPr>
              <w:keepNext/>
              <w:spacing w:before="240" w:after="240"/>
              <w:jc w:val="both"/>
            </w:pPr>
            <w:r w:rsidRPr="00943DC2">
              <w:t>A résztvevők probléma felismerési és kezelési jártasságokat szereznek. Problémamegoldó képességük egyéni és társas helyzetekben is fejlődik. Megküzdési potenciáljuk fejlődik a kritikai gondolkodás fejlesztésén, az önbizalom növelésén, az időbeosztás tanulásán, a döntéshozó és együttműködő képesség fejlesztésén, konfliktuskezelési technikák elsajátításán, felelősségvállalás (önmagukért, társaikért, saját munkájáért) tanulásán keresztül.</w:t>
            </w:r>
          </w:p>
        </w:tc>
      </w:tr>
      <w:tr w:rsidR="00F24DC1" w:rsidRPr="00943DC2" w:rsidTr="002151AD">
        <w:tc>
          <w:tcPr>
            <w:tcW w:w="13041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keepNext/>
              <w:spacing w:before="240" w:after="240"/>
              <w:jc w:val="both"/>
              <w:rPr>
                <w:b/>
              </w:rPr>
            </w:pPr>
            <w:r w:rsidRPr="00943DC2">
              <w:rPr>
                <w:b/>
              </w:rPr>
              <w:t>Kommunikációs kompetenciák:</w:t>
            </w:r>
          </w:p>
          <w:p w:rsidR="00F24DC1" w:rsidRPr="00943DC2" w:rsidRDefault="00F24DC1" w:rsidP="00F847AD">
            <w:pPr>
              <w:keepNext/>
              <w:spacing w:before="240" w:after="240"/>
              <w:jc w:val="both"/>
            </w:pPr>
            <w:r w:rsidRPr="00943DC2">
              <w:t xml:space="preserve">A résztvevők kommunikációs technikákat sajátítanak el ( pl. asszertív kommunikáció) szituációs gyakorlatokon keresztül, melyeket </w:t>
            </w:r>
            <w:proofErr w:type="gramStart"/>
            <w:r w:rsidRPr="00943DC2">
              <w:t>megtanulnak</w:t>
            </w:r>
            <w:proofErr w:type="gramEnd"/>
            <w:r w:rsidRPr="00943DC2">
              <w:t xml:space="preserve"> biztonságosan alkalmazni. Ezáltal gondolataik érzéseik, szükségleteik világos közlése könnyebbé válik. Kapcsolatteremtő- és fenntartó képességük fejlődik. </w:t>
            </w:r>
          </w:p>
        </w:tc>
      </w:tr>
      <w:tr w:rsidR="00F24DC1" w:rsidRPr="00943DC2" w:rsidTr="002151AD">
        <w:tc>
          <w:tcPr>
            <w:tcW w:w="13041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keepNext/>
              <w:spacing w:after="240"/>
              <w:jc w:val="both"/>
              <w:rPr>
                <w:b/>
              </w:rPr>
            </w:pPr>
            <w:r w:rsidRPr="00943DC2">
              <w:rPr>
                <w:b/>
              </w:rPr>
              <w:t>Szociális kompetenciák:</w:t>
            </w:r>
          </w:p>
          <w:p w:rsidR="00F24DC1" w:rsidRPr="00943DC2" w:rsidRDefault="00F24DC1" w:rsidP="00F847AD">
            <w:pPr>
              <w:keepNext/>
              <w:spacing w:after="240"/>
              <w:jc w:val="both"/>
            </w:pPr>
            <w:r w:rsidRPr="00943DC2">
              <w:t xml:space="preserve">A képzés résztvevői </w:t>
            </w:r>
            <w:r w:rsidR="00F847AD">
              <w:t>képesek a betegségükkel kapcsolatos terápiák, eljárások során a velük kapcsolatba kerülő szakemberekkel együttműködni. K</w:t>
            </w:r>
            <w:r w:rsidRPr="00943DC2">
              <w:t>ülönböző szociális szerepekben szereznek tapasztalatot és képessé válnak ezeket a szerepeiket a mindennapokban is működtetni.</w:t>
            </w:r>
          </w:p>
        </w:tc>
      </w:tr>
      <w:tr w:rsidR="00F24DC1" w:rsidRPr="00943DC2" w:rsidTr="002151AD"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DC1" w:rsidRPr="00943DC2" w:rsidRDefault="00F24DC1" w:rsidP="002151AD">
            <w:pPr>
              <w:keepNext/>
              <w:spacing w:after="240"/>
              <w:jc w:val="both"/>
              <w:rPr>
                <w:b/>
              </w:rPr>
            </w:pPr>
            <w:r w:rsidRPr="00943DC2">
              <w:rPr>
                <w:b/>
              </w:rPr>
              <w:t>Speciális kompetenciák:</w:t>
            </w:r>
          </w:p>
          <w:p w:rsidR="00F24DC1" w:rsidRPr="00943DC2" w:rsidRDefault="00F24DC1" w:rsidP="00F847AD">
            <w:pPr>
              <w:keepNext/>
              <w:spacing w:after="240"/>
              <w:jc w:val="both"/>
            </w:pPr>
            <w:r w:rsidRPr="00943DC2">
              <w:t>A résztvevők</w:t>
            </w:r>
            <w:r w:rsidR="00F847AD">
              <w:t xml:space="preserve"> ismereteket szereznek a betegségmenedzsment témakörében. </w:t>
            </w:r>
          </w:p>
        </w:tc>
      </w:tr>
    </w:tbl>
    <w:p w:rsidR="00F24DC1" w:rsidRPr="00943DC2" w:rsidRDefault="00F24DC1" w:rsidP="00F24DC1">
      <w:pPr>
        <w:keepNext/>
        <w:spacing w:before="240" w:after="120"/>
        <w:jc w:val="center"/>
        <w:rPr>
          <w:b/>
        </w:rPr>
      </w:pPr>
    </w:p>
    <w:p w:rsidR="00F24DC1" w:rsidRPr="00943DC2" w:rsidRDefault="00F24DC1" w:rsidP="00F24DC1">
      <w:pPr>
        <w:keepNext/>
        <w:spacing w:before="240" w:after="120"/>
        <w:jc w:val="center"/>
      </w:pPr>
      <w:r w:rsidRPr="00943DC2">
        <w:rPr>
          <w:b/>
        </w:rPr>
        <w:lastRenderedPageBreak/>
        <w:t>A programba való bekapcsolódás feltételei</w:t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0544"/>
      </w:tblGrid>
      <w:tr w:rsidR="006A3F13" w:rsidRPr="00943DC2" w:rsidTr="002151AD">
        <w:tc>
          <w:tcPr>
            <w:tcW w:w="2497" w:type="dxa"/>
            <w:shd w:val="clear" w:color="auto" w:fill="FFFFFF"/>
          </w:tcPr>
          <w:p w:rsidR="006A3F13" w:rsidRPr="00943DC2" w:rsidRDefault="006A3F13" w:rsidP="002151AD">
            <w:pPr>
              <w:spacing w:before="60" w:after="60"/>
              <w:jc w:val="center"/>
            </w:pPr>
            <w:r w:rsidRPr="00943DC2">
              <w:t>Iskolai végzettség</w:t>
            </w:r>
          </w:p>
        </w:tc>
        <w:tc>
          <w:tcPr>
            <w:tcW w:w="10544" w:type="dxa"/>
            <w:shd w:val="clear" w:color="auto" w:fill="FFFFFF"/>
          </w:tcPr>
          <w:p w:rsidR="006A3F13" w:rsidRPr="000D1DFC" w:rsidRDefault="006A3F13" w:rsidP="00477DF6">
            <w:r w:rsidRPr="000D1DFC">
              <w:t>Nem releváns</w:t>
            </w:r>
          </w:p>
        </w:tc>
      </w:tr>
      <w:tr w:rsidR="006A3F13" w:rsidRPr="00943DC2" w:rsidTr="002151AD">
        <w:tc>
          <w:tcPr>
            <w:tcW w:w="2497" w:type="dxa"/>
            <w:shd w:val="clear" w:color="auto" w:fill="FFFFFF"/>
          </w:tcPr>
          <w:p w:rsidR="006A3F13" w:rsidRPr="00943DC2" w:rsidRDefault="006A3F13" w:rsidP="002151AD">
            <w:pPr>
              <w:spacing w:before="60" w:after="60"/>
              <w:jc w:val="center"/>
            </w:pPr>
            <w:r w:rsidRPr="00943DC2">
              <w:t>Szakmai végzettség</w:t>
            </w:r>
          </w:p>
        </w:tc>
        <w:tc>
          <w:tcPr>
            <w:tcW w:w="10544" w:type="dxa"/>
            <w:shd w:val="clear" w:color="auto" w:fill="FFFFFF"/>
          </w:tcPr>
          <w:p w:rsidR="006A3F13" w:rsidRPr="000D1DFC" w:rsidRDefault="006A3F13" w:rsidP="00477DF6">
            <w:r w:rsidRPr="000D1DFC">
              <w:t>Nem releváns</w:t>
            </w:r>
          </w:p>
        </w:tc>
      </w:tr>
      <w:tr w:rsidR="006A3F13" w:rsidRPr="00943DC2" w:rsidTr="002151AD">
        <w:tc>
          <w:tcPr>
            <w:tcW w:w="2497" w:type="dxa"/>
            <w:shd w:val="clear" w:color="auto" w:fill="FFFFFF"/>
          </w:tcPr>
          <w:p w:rsidR="006A3F13" w:rsidRPr="00943DC2" w:rsidRDefault="006A3F13" w:rsidP="002151AD">
            <w:pPr>
              <w:spacing w:before="60" w:after="60"/>
              <w:jc w:val="center"/>
            </w:pPr>
            <w:r w:rsidRPr="00943DC2">
              <w:t>Szakmai gyakorlat</w:t>
            </w:r>
          </w:p>
        </w:tc>
        <w:tc>
          <w:tcPr>
            <w:tcW w:w="10544" w:type="dxa"/>
            <w:shd w:val="clear" w:color="auto" w:fill="FFFFFF"/>
          </w:tcPr>
          <w:p w:rsidR="006A3F13" w:rsidRDefault="006A3F13" w:rsidP="00477DF6">
            <w:r w:rsidRPr="000D1DFC">
              <w:t>Nem releváns</w:t>
            </w:r>
          </w:p>
        </w:tc>
      </w:tr>
      <w:tr w:rsidR="00F24DC1" w:rsidRPr="00943DC2" w:rsidTr="002151AD">
        <w:tc>
          <w:tcPr>
            <w:tcW w:w="2497" w:type="dxa"/>
            <w:shd w:val="clear" w:color="auto" w:fill="FFFFFF"/>
          </w:tcPr>
          <w:p w:rsidR="00F24DC1" w:rsidRPr="00943DC2" w:rsidRDefault="00F24DC1" w:rsidP="002151AD">
            <w:pPr>
              <w:spacing w:before="60" w:after="60"/>
              <w:jc w:val="center"/>
            </w:pPr>
            <w:r w:rsidRPr="00943DC2">
              <w:t>Egészségügyi alkalmasság</w:t>
            </w:r>
          </w:p>
        </w:tc>
        <w:tc>
          <w:tcPr>
            <w:tcW w:w="10544" w:type="dxa"/>
            <w:shd w:val="clear" w:color="auto" w:fill="FFFFFF"/>
          </w:tcPr>
          <w:p w:rsidR="005843F9" w:rsidRPr="005843F9" w:rsidRDefault="005843F9" w:rsidP="005843F9">
            <w:pPr>
              <w:rPr>
                <w:szCs w:val="22"/>
              </w:rPr>
            </w:pPr>
            <w:r w:rsidRPr="005843F9">
              <w:rPr>
                <w:szCs w:val="22"/>
              </w:rPr>
              <w:t>Jelenlegi orvosi kezelések és azok hatékonysága a krónikus betegség kórlefolyásának jellegének bemutatása és a közösségbe való részvétel igazolása.</w:t>
            </w:r>
          </w:p>
          <w:p w:rsidR="00F24DC1" w:rsidRPr="00094A04" w:rsidRDefault="005843F9" w:rsidP="005843F9">
            <w:pPr>
              <w:rPr>
                <w:szCs w:val="22"/>
              </w:rPr>
            </w:pPr>
            <w:r w:rsidRPr="005843F9">
              <w:rPr>
                <w:szCs w:val="22"/>
              </w:rPr>
              <w:t>Veszélyeztető állapot vagy éppen zajló pszichiátriai epizód (</w:t>
            </w:r>
            <w:proofErr w:type="spellStart"/>
            <w:r w:rsidRPr="005843F9">
              <w:rPr>
                <w:szCs w:val="22"/>
              </w:rPr>
              <w:t>sub</w:t>
            </w:r>
            <w:proofErr w:type="spellEnd"/>
            <w:r w:rsidRPr="005843F9">
              <w:rPr>
                <w:szCs w:val="22"/>
              </w:rPr>
              <w:t>) esetén nem bevonható a résztvevő</w:t>
            </w:r>
          </w:p>
        </w:tc>
      </w:tr>
      <w:tr w:rsidR="00F24DC1" w:rsidRPr="00943DC2" w:rsidTr="002151AD">
        <w:tc>
          <w:tcPr>
            <w:tcW w:w="2497" w:type="dxa"/>
            <w:shd w:val="clear" w:color="auto" w:fill="FFFFFF"/>
          </w:tcPr>
          <w:p w:rsidR="00F24DC1" w:rsidRPr="00943DC2" w:rsidRDefault="00F24DC1" w:rsidP="002151AD">
            <w:pPr>
              <w:spacing w:before="60" w:after="60"/>
              <w:jc w:val="center"/>
            </w:pPr>
            <w:r w:rsidRPr="00943DC2">
              <w:t>Előzetesen elvárt ismeretek</w:t>
            </w:r>
          </w:p>
          <w:p w:rsidR="00F24DC1" w:rsidRPr="00943DC2" w:rsidRDefault="00F24DC1" w:rsidP="002151AD">
            <w:pPr>
              <w:jc w:val="center"/>
            </w:pPr>
            <w:r w:rsidRPr="00943DC2">
              <w:rPr>
                <w:i/>
              </w:rPr>
              <w:t>Bemeneti kompetenciák, kompetenciaelemek (ismeretek, készségek, attitűdök)</w:t>
            </w:r>
          </w:p>
        </w:tc>
        <w:tc>
          <w:tcPr>
            <w:tcW w:w="10544" w:type="dxa"/>
            <w:shd w:val="clear" w:color="auto" w:fill="FFFFFF"/>
          </w:tcPr>
          <w:p w:rsidR="006A3F13" w:rsidRPr="006A3F13" w:rsidRDefault="006A3F13" w:rsidP="006A3F13">
            <w:pPr>
              <w:rPr>
                <w:szCs w:val="22"/>
              </w:rPr>
            </w:pPr>
            <w:r w:rsidRPr="006A3F13">
              <w:rPr>
                <w:szCs w:val="22"/>
              </w:rPr>
              <w:t>A szükségletfelmérés alapján meghatározott önellátást célzó személyi szükségletek és igények megfogalmazása.</w:t>
            </w:r>
          </w:p>
          <w:p w:rsidR="005843F9" w:rsidRPr="005843F9" w:rsidRDefault="005843F9" w:rsidP="005843F9">
            <w:pPr>
              <w:rPr>
                <w:szCs w:val="22"/>
              </w:rPr>
            </w:pPr>
            <w:r w:rsidRPr="005843F9">
              <w:rPr>
                <w:szCs w:val="22"/>
              </w:rPr>
              <w:t>Képesség kommunikációra szóban, írásban, vagy segédeszköz igénybevétele mellet, a helyzetnek megfelelően.</w:t>
            </w:r>
          </w:p>
          <w:p w:rsidR="005843F9" w:rsidRPr="005843F9" w:rsidRDefault="005843F9" w:rsidP="005843F9">
            <w:pPr>
              <w:rPr>
                <w:szCs w:val="22"/>
              </w:rPr>
            </w:pPr>
            <w:r w:rsidRPr="005843F9">
              <w:rPr>
                <w:szCs w:val="22"/>
              </w:rPr>
              <w:t xml:space="preserve">Képesség egyéni és csoportos tanulási folyamatokban való részvételre. </w:t>
            </w:r>
          </w:p>
          <w:p w:rsidR="005843F9" w:rsidRPr="005843F9" w:rsidRDefault="005843F9" w:rsidP="005843F9">
            <w:pPr>
              <w:rPr>
                <w:szCs w:val="22"/>
              </w:rPr>
            </w:pPr>
            <w:r w:rsidRPr="005843F9">
              <w:rPr>
                <w:szCs w:val="22"/>
              </w:rPr>
              <w:t>Figyelme terelhető, fenntartható, legyen az elméleti és gyakorlati oktatások ideje alatt.</w:t>
            </w:r>
          </w:p>
          <w:p w:rsidR="005843F9" w:rsidRPr="005843F9" w:rsidRDefault="005843F9" w:rsidP="005843F9">
            <w:pPr>
              <w:rPr>
                <w:szCs w:val="22"/>
              </w:rPr>
            </w:pPr>
            <w:r w:rsidRPr="005843F9">
              <w:rPr>
                <w:szCs w:val="22"/>
              </w:rPr>
              <w:t>Alapvető írás, olvasás, szövegértés készsége, aktív figyelem 30 perc időtartamban.</w:t>
            </w:r>
          </w:p>
          <w:p w:rsidR="00F24DC1" w:rsidRPr="006001DB" w:rsidRDefault="005843F9" w:rsidP="005843F9">
            <w:pPr>
              <w:rPr>
                <w:szCs w:val="22"/>
              </w:rPr>
            </w:pPr>
            <w:r w:rsidRPr="005843F9">
              <w:rPr>
                <w:szCs w:val="22"/>
              </w:rPr>
              <w:t>Csoportban való együttműködés, alapvető alkalmazkodási készség.</w:t>
            </w:r>
          </w:p>
        </w:tc>
      </w:tr>
      <w:tr w:rsidR="00F24DC1" w:rsidRPr="00943DC2" w:rsidTr="002151AD">
        <w:tc>
          <w:tcPr>
            <w:tcW w:w="2497" w:type="dxa"/>
            <w:shd w:val="clear" w:color="auto" w:fill="FFFFFF"/>
          </w:tcPr>
          <w:p w:rsidR="00F24DC1" w:rsidRPr="00943DC2" w:rsidRDefault="00F24DC1" w:rsidP="002151AD">
            <w:pPr>
              <w:spacing w:before="60" w:after="60"/>
              <w:jc w:val="center"/>
            </w:pPr>
            <w:r w:rsidRPr="00943DC2">
              <w:t>Egyéb feltételek</w:t>
            </w:r>
          </w:p>
        </w:tc>
        <w:tc>
          <w:tcPr>
            <w:tcW w:w="10544" w:type="dxa"/>
            <w:shd w:val="clear" w:color="auto" w:fill="FFFFFF"/>
          </w:tcPr>
          <w:p w:rsidR="006A3F13" w:rsidRPr="006A3F13" w:rsidRDefault="006A3F13" w:rsidP="006A3F13">
            <w:pPr>
              <w:rPr>
                <w:szCs w:val="22"/>
              </w:rPr>
            </w:pPr>
            <w:r w:rsidRPr="006A3F13">
              <w:rPr>
                <w:szCs w:val="22"/>
              </w:rPr>
              <w:t>Ismerje saját kompetenciáit, vagy tudja elfogadni az ezzel kapcsolatos észrevételeket, építő kritikát.</w:t>
            </w:r>
          </w:p>
          <w:p w:rsidR="006A3F13" w:rsidRPr="006A3F13" w:rsidRDefault="006A3F13" w:rsidP="006A3F13">
            <w:pPr>
              <w:rPr>
                <w:szCs w:val="22"/>
              </w:rPr>
            </w:pPr>
            <w:r w:rsidRPr="006A3F13">
              <w:rPr>
                <w:szCs w:val="22"/>
              </w:rPr>
              <w:t>Tudjon partner lenni a képességfejlesztésében.</w:t>
            </w:r>
          </w:p>
          <w:p w:rsidR="006A3F13" w:rsidRPr="006A3F13" w:rsidRDefault="006A3F13" w:rsidP="006A3F13">
            <w:pPr>
              <w:rPr>
                <w:szCs w:val="22"/>
              </w:rPr>
            </w:pPr>
            <w:r w:rsidRPr="006A3F13">
              <w:rPr>
                <w:szCs w:val="22"/>
              </w:rPr>
              <w:t>Az előképzettség feltárása után legyen partner a fejlődés menetét elősegítő csoportfoglalkozások, tanulási folyamatok és a gyakorlatok lebonyolításában.</w:t>
            </w:r>
          </w:p>
          <w:p w:rsidR="006A3F13" w:rsidRPr="006A3F13" w:rsidRDefault="006A3F13" w:rsidP="006A3F13">
            <w:pPr>
              <w:rPr>
                <w:szCs w:val="22"/>
              </w:rPr>
            </w:pPr>
            <w:r w:rsidRPr="006A3F13">
              <w:rPr>
                <w:szCs w:val="22"/>
              </w:rPr>
              <w:t>A komplex szükségletfelmérés alapján egyéb feltételek is meghatározhatóak.</w:t>
            </w:r>
            <w:r w:rsidRPr="006A3F13">
              <w:rPr>
                <w:szCs w:val="22"/>
              </w:rPr>
              <w:tab/>
            </w:r>
          </w:p>
          <w:p w:rsidR="00F24DC1" w:rsidRPr="00050662" w:rsidRDefault="006A3F13" w:rsidP="006A3F13">
            <w:pPr>
              <w:rPr>
                <w:szCs w:val="22"/>
              </w:rPr>
            </w:pPr>
            <w:r w:rsidRPr="006A3F13">
              <w:rPr>
                <w:szCs w:val="22"/>
              </w:rPr>
              <w:t>Rendelkezzen pozitív attitűddel, legalább minimális bizalommal a környezetében élő emberek irányában.</w:t>
            </w:r>
          </w:p>
        </w:tc>
      </w:tr>
    </w:tbl>
    <w:p w:rsidR="00F24DC1" w:rsidRDefault="00F24DC1" w:rsidP="00F24DC1">
      <w:pPr>
        <w:spacing w:before="240" w:after="120"/>
        <w:ind w:left="360"/>
        <w:jc w:val="center"/>
        <w:rPr>
          <w:b/>
        </w:rPr>
      </w:pPr>
    </w:p>
    <w:p w:rsidR="00F24DC1" w:rsidRDefault="00F24DC1" w:rsidP="00F24DC1">
      <w:pPr>
        <w:rPr>
          <w:b/>
        </w:rPr>
      </w:pPr>
      <w:r>
        <w:rPr>
          <w:b/>
        </w:rPr>
        <w:br w:type="page"/>
      </w:r>
    </w:p>
    <w:p w:rsidR="00F24DC1" w:rsidRPr="00943DC2" w:rsidRDefault="00F24DC1" w:rsidP="00F24DC1">
      <w:pPr>
        <w:spacing w:before="240" w:after="120"/>
        <w:ind w:left="360"/>
        <w:jc w:val="center"/>
      </w:pPr>
      <w:r w:rsidRPr="00943DC2">
        <w:rPr>
          <w:b/>
        </w:rPr>
        <w:lastRenderedPageBreak/>
        <w:t>Tervezett képzési idő</w:t>
      </w:r>
    </w:p>
    <w:tbl>
      <w:tblPr>
        <w:tblW w:w="1289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0402"/>
      </w:tblGrid>
      <w:tr w:rsidR="00F24DC1" w:rsidRPr="00943DC2" w:rsidTr="002151AD">
        <w:tc>
          <w:tcPr>
            <w:tcW w:w="2497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keepNext/>
              <w:jc w:val="center"/>
            </w:pPr>
            <w:r w:rsidRPr="00943DC2">
              <w:t>Elméleti órák száma</w:t>
            </w:r>
          </w:p>
        </w:tc>
        <w:tc>
          <w:tcPr>
            <w:tcW w:w="10402" w:type="dxa"/>
          </w:tcPr>
          <w:p w:rsidR="00F24DC1" w:rsidRPr="005843F9" w:rsidRDefault="005843F9" w:rsidP="002151AD">
            <w:pPr>
              <w:spacing w:before="60" w:after="60"/>
              <w:jc w:val="center"/>
            </w:pPr>
            <w:r w:rsidRPr="005843F9">
              <w:t>10</w:t>
            </w:r>
            <w:r w:rsidR="006A3F13" w:rsidRPr="005843F9">
              <w:t xml:space="preserve"> óra</w:t>
            </w:r>
          </w:p>
        </w:tc>
      </w:tr>
      <w:tr w:rsidR="00F24DC1" w:rsidRPr="00943DC2" w:rsidTr="002151AD">
        <w:tc>
          <w:tcPr>
            <w:tcW w:w="2497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jc w:val="center"/>
            </w:pPr>
            <w:r w:rsidRPr="00943DC2">
              <w:t>Gyakorlati órák száma</w:t>
            </w:r>
          </w:p>
        </w:tc>
        <w:tc>
          <w:tcPr>
            <w:tcW w:w="10402" w:type="dxa"/>
          </w:tcPr>
          <w:p w:rsidR="00F24DC1" w:rsidRPr="005843F9" w:rsidRDefault="005843F9" w:rsidP="002151AD">
            <w:pPr>
              <w:spacing w:before="60" w:after="60"/>
              <w:jc w:val="center"/>
            </w:pPr>
            <w:r w:rsidRPr="005843F9">
              <w:t xml:space="preserve">30 </w:t>
            </w:r>
            <w:r w:rsidR="006A3F13" w:rsidRPr="005843F9">
              <w:t>óra</w:t>
            </w:r>
          </w:p>
        </w:tc>
      </w:tr>
      <w:tr w:rsidR="00F24DC1" w:rsidRPr="00943DC2" w:rsidTr="002151AD">
        <w:tc>
          <w:tcPr>
            <w:tcW w:w="2497" w:type="dxa"/>
            <w:shd w:val="clear" w:color="auto" w:fill="FFFFFF"/>
            <w:vAlign w:val="center"/>
          </w:tcPr>
          <w:p w:rsidR="00F24DC1" w:rsidRPr="00943DC2" w:rsidRDefault="00F24DC1" w:rsidP="002151AD">
            <w:pPr>
              <w:jc w:val="center"/>
            </w:pPr>
            <w:r w:rsidRPr="00943DC2">
              <w:t>Összes óraszám</w:t>
            </w:r>
          </w:p>
        </w:tc>
        <w:tc>
          <w:tcPr>
            <w:tcW w:w="10402" w:type="dxa"/>
          </w:tcPr>
          <w:p w:rsidR="00F24DC1" w:rsidRPr="005843F9" w:rsidRDefault="005843F9" w:rsidP="002151AD">
            <w:pPr>
              <w:spacing w:before="60" w:after="60"/>
              <w:jc w:val="center"/>
            </w:pPr>
            <w:r w:rsidRPr="005843F9">
              <w:t xml:space="preserve">40 </w:t>
            </w:r>
            <w:r w:rsidR="006A3F13" w:rsidRPr="005843F9">
              <w:t>óra</w:t>
            </w:r>
          </w:p>
        </w:tc>
      </w:tr>
    </w:tbl>
    <w:p w:rsidR="00F24DC1" w:rsidRPr="000F4076" w:rsidRDefault="00F24DC1" w:rsidP="00F24DC1">
      <w:pPr>
        <w:pStyle w:val="Listaszerbekezds"/>
        <w:spacing w:before="240" w:after="120"/>
        <w:jc w:val="center"/>
      </w:pPr>
    </w:p>
    <w:p w:rsidR="00F24DC1" w:rsidRPr="00943DC2" w:rsidRDefault="00F24DC1" w:rsidP="00F24DC1">
      <w:pPr>
        <w:pStyle w:val="Listaszerbekezds"/>
        <w:spacing w:before="240" w:after="120"/>
        <w:jc w:val="center"/>
      </w:pPr>
      <w:r w:rsidRPr="00943DC2">
        <w:rPr>
          <w:b/>
        </w:rPr>
        <w:t>A képzés formájának (egyéni felkészítés, vagy csoportos képzés, vagy távoktatás) meghatározása</w:t>
      </w:r>
    </w:p>
    <w:tbl>
      <w:tblPr>
        <w:tblW w:w="1289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348"/>
      </w:tblGrid>
      <w:tr w:rsidR="00F24DC1" w:rsidRPr="00943DC2" w:rsidTr="002151AD">
        <w:tc>
          <w:tcPr>
            <w:tcW w:w="2551" w:type="dxa"/>
            <w:shd w:val="clear" w:color="auto" w:fill="F2F2F2"/>
          </w:tcPr>
          <w:p w:rsidR="00F24DC1" w:rsidRPr="00943DC2" w:rsidRDefault="00F24DC1" w:rsidP="002151AD">
            <w:pPr>
              <w:spacing w:before="60" w:after="60"/>
              <w:jc w:val="center"/>
            </w:pPr>
            <w:r w:rsidRPr="00943DC2">
              <w:t>A képzés formája</w:t>
            </w:r>
          </w:p>
        </w:tc>
        <w:tc>
          <w:tcPr>
            <w:tcW w:w="10348" w:type="dxa"/>
            <w:shd w:val="clear" w:color="auto" w:fill="FFFFFF"/>
          </w:tcPr>
          <w:p w:rsidR="00F24DC1" w:rsidRPr="00943DC2" w:rsidRDefault="00F24DC1" w:rsidP="002151AD">
            <w:pPr>
              <w:spacing w:before="60" w:after="60"/>
              <w:jc w:val="both"/>
            </w:pPr>
            <w:r w:rsidRPr="00943DC2">
              <w:rPr>
                <w:b/>
              </w:rPr>
              <w:t>Forma</w:t>
            </w:r>
            <w:r w:rsidRPr="00943DC2">
              <w:t>: Egyéni, kiscsoportos, csoportos készségfejlesztő tréning, projektoktatás, részvétel külső programon.</w:t>
            </w:r>
          </w:p>
          <w:p w:rsidR="00F24DC1" w:rsidRPr="00943DC2" w:rsidRDefault="00F24DC1" w:rsidP="002151AD">
            <w:pPr>
              <w:spacing w:before="60" w:after="60"/>
              <w:jc w:val="both"/>
            </w:pPr>
          </w:p>
          <w:p w:rsidR="00F24DC1" w:rsidRPr="00943DC2" w:rsidRDefault="00F24DC1" w:rsidP="002151AD">
            <w:pPr>
              <w:spacing w:before="60" w:after="60"/>
              <w:jc w:val="both"/>
            </w:pPr>
            <w:r w:rsidRPr="00943DC2">
              <w:rPr>
                <w:b/>
              </w:rPr>
              <w:t>Szempont</w:t>
            </w:r>
            <w:r w:rsidRPr="00943DC2">
              <w:t xml:space="preserve">: Egyéni haladási ütem figyelembe vétele. Élményalapú, gyakorlatorientált képzés. Komplex együttműködés különböző szakemberekkel. Differenciált felzárkóztatás, hogy a kliens saját komplex személyiség - struktúrához leginkább megfelelő. A csoportfoglalkozásba hasonló problémákkal küzdő személyek bevonása. </w:t>
            </w:r>
          </w:p>
        </w:tc>
      </w:tr>
    </w:tbl>
    <w:p w:rsidR="00EA7791" w:rsidRDefault="00EA7791" w:rsidP="00F24DC1"/>
    <w:p w:rsidR="00285EFC" w:rsidRDefault="00285EFC" w:rsidP="00F24DC1"/>
    <w:p w:rsidR="00285EFC" w:rsidRPr="00943DC2" w:rsidRDefault="006A3F13" w:rsidP="00285EFC">
      <w:pPr>
        <w:spacing w:before="240" w:after="120"/>
        <w:jc w:val="center"/>
        <w:rPr>
          <w:b/>
        </w:rPr>
      </w:pPr>
      <w:bookmarkStart w:id="0" w:name="_GoBack"/>
      <w:bookmarkEnd w:id="0"/>
      <w:r>
        <w:rPr>
          <w:b/>
        </w:rPr>
        <w:t>Tananyagegység</w:t>
      </w: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keepNext/>
              <w:spacing w:before="60" w:after="60"/>
              <w:jc w:val="center"/>
            </w:pPr>
            <w:r w:rsidRPr="00943DC2">
              <w:t>Megnevezése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  <w:jc w:val="center"/>
            </w:pPr>
            <w:r w:rsidRPr="00943DC2">
              <w:t>A komplex pszicho-szociális rehabilitáció eszközrendszere</w:t>
            </w:r>
          </w:p>
          <w:p w:rsidR="00285EFC" w:rsidRPr="00943DC2" w:rsidRDefault="001C55C8" w:rsidP="001C55C8">
            <w:pPr>
              <w:spacing w:before="60" w:after="60"/>
              <w:jc w:val="center"/>
            </w:pPr>
            <w:r>
              <w:rPr>
                <w:b/>
              </w:rPr>
              <w:t>BETEGSÉGMENEDZSMENT</w:t>
            </w:r>
            <w:r w:rsidR="00285EFC" w:rsidRPr="00943DC2">
              <w:t xml:space="preserve"> tanegység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keepNext/>
              <w:spacing w:before="60" w:after="60"/>
            </w:pPr>
            <w:r w:rsidRPr="00943DC2">
              <w:t>Célja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18622D" w:rsidP="002151AD">
            <w:pPr>
              <w:spacing w:before="60" w:after="60"/>
            </w:pPr>
            <w:r w:rsidRPr="00943DC2">
              <w:t>A résztvevő ismerje fel betegségének korai tüneteket, betegségével kapcsolatos ismeretei bővüljenek, betegségtudata kialakuljon, a felépülés lehetőségeit ismerje meg</w:t>
            </w:r>
            <w:r>
              <w:t xml:space="preserve">. </w:t>
            </w:r>
            <w:r w:rsidR="00CA2AA4" w:rsidRPr="00943DC2">
              <w:t>A betegségmenedzsment célja a pszichiátriai problémával élők olyan készségekkel való felruházása, amelyekkel kontrollt</w:t>
            </w:r>
            <w:r w:rsidR="005B7484">
              <w:t xml:space="preserve"> gyakorolnak</w:t>
            </w:r>
            <w:r w:rsidR="00CA2AA4" w:rsidRPr="00943DC2">
              <w:t xml:space="preserve"> saját betegségük felett.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Tartalma</w:t>
            </w:r>
          </w:p>
        </w:tc>
        <w:tc>
          <w:tcPr>
            <w:tcW w:w="10348" w:type="dxa"/>
            <w:shd w:val="clear" w:color="auto" w:fill="FFFFFF"/>
          </w:tcPr>
          <w:p w:rsidR="0047281D" w:rsidRPr="00943DC2" w:rsidRDefault="003D42FB" w:rsidP="003D42FB">
            <w:pPr>
              <w:spacing w:before="60" w:after="60"/>
            </w:pPr>
            <w:r>
              <w:t xml:space="preserve">A </w:t>
            </w:r>
            <w:proofErr w:type="spellStart"/>
            <w:r>
              <w:t>pszichoszociális</w:t>
            </w:r>
            <w:proofErr w:type="spellEnd"/>
            <w:r>
              <w:t xml:space="preserve"> fogyatékossággal</w:t>
            </w:r>
            <w:r w:rsidR="0047281D">
              <w:t xml:space="preserve"> kapcsolatos ismeretek bővítése. </w:t>
            </w:r>
            <w:r>
              <w:t>A betegség tünetei, a</w:t>
            </w:r>
            <w:r w:rsidR="0047281D">
              <w:t xml:space="preserve">zok </w:t>
            </w:r>
            <w:r w:rsidR="0047281D">
              <w:lastRenderedPageBreak/>
              <w:t xml:space="preserve">felismerése, következményei. A betegség okai, öröklődés. </w:t>
            </w:r>
            <w:r>
              <w:t>A felhasználó kö</w:t>
            </w:r>
            <w:r w:rsidR="0047281D">
              <w:t xml:space="preserve">rnyezetében élők és a betegség. </w:t>
            </w:r>
            <w:r>
              <w:t>A családtagok, ismerősök, barátok, szociális segítők t</w:t>
            </w:r>
            <w:r w:rsidR="0047281D">
              <w:t xml:space="preserve">erhei, szerepük a felépülésben. </w:t>
            </w:r>
            <w:r>
              <w:t>Felépülési lehetőségek, terápiák, rehabili</w:t>
            </w:r>
            <w:r w:rsidR="0047281D">
              <w:t>táció, művészetterápiák.</w:t>
            </w:r>
            <w:r w:rsidR="001C55C8">
              <w:t xml:space="preserve"> </w:t>
            </w:r>
            <w:r w:rsidR="0047281D">
              <w:t>Fizikai erőnlét megőrzése</w:t>
            </w:r>
            <w:r w:rsidR="0047281D" w:rsidRPr="0047281D">
              <w:t>, rendszeres mozgás</w:t>
            </w:r>
            <w:r w:rsidR="009F3CD0">
              <w:t>.</w:t>
            </w:r>
            <w:r w:rsidR="0047281D" w:rsidRPr="0047281D">
              <w:t xml:space="preserve"> Kiegyensúlyozott,</w:t>
            </w:r>
            <w:r w:rsidR="009F3CD0">
              <w:t xml:space="preserve"> konfliktusmentes kommunikáció </w:t>
            </w:r>
            <w:r w:rsidR="0047281D" w:rsidRPr="0047281D">
              <w:t>és viselkedés.</w:t>
            </w:r>
            <w:r w:rsidR="009F3CD0">
              <w:t xml:space="preserve"> </w:t>
            </w:r>
            <w:r w:rsidR="0047281D" w:rsidRPr="0047281D">
              <w:t>A pszichés betegséggel való együttélés, a betegségből adódó nehéz helyzetek önálló befolyásolása, megoldása (szorongás, hallucináció, téveszme)</w:t>
            </w:r>
            <w:r w:rsidR="00D7618E">
              <w:t>.</w:t>
            </w:r>
            <w:r w:rsidR="0047281D" w:rsidRPr="0047281D">
              <w:t xml:space="preserve"> Agresszív gondolatok, késztetések esetén segítségkérés. A betegség megfelelő kommunikálása személyes kapcsolatokban, közösségben, munkahelyen. Együttműködés a szakorvossal, kontrollvizsgálatokon való megjelenés. Egyéb egészségügyi probléma eset és a háziorvos, kezelőorvos felkeresése. Kisebb egészségügyi problémák önálló kezelése. Megbízható, önálló gyógyszerszedés, krízishelyzetek, veszélyes magatartásformák, elkerülése, felismerése, segítségkérés</w:t>
            </w:r>
            <w:r w:rsidR="00AF159D">
              <w:t>.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lastRenderedPageBreak/>
              <w:t>Terjedelme</w:t>
            </w:r>
          </w:p>
        </w:tc>
        <w:tc>
          <w:tcPr>
            <w:tcW w:w="10348" w:type="dxa"/>
            <w:shd w:val="clear" w:color="auto" w:fill="FFFFFF"/>
          </w:tcPr>
          <w:p w:rsidR="00285EFC" w:rsidRPr="001C55C8" w:rsidRDefault="00C149F0" w:rsidP="002151AD">
            <w:pPr>
              <w:spacing w:before="60" w:after="60"/>
            </w:pPr>
            <w:r w:rsidRPr="001C55C8">
              <w:t>40 óra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Elméleti órák száma</w:t>
            </w:r>
          </w:p>
        </w:tc>
        <w:tc>
          <w:tcPr>
            <w:tcW w:w="10348" w:type="dxa"/>
            <w:shd w:val="clear" w:color="auto" w:fill="FFFFFF"/>
          </w:tcPr>
          <w:p w:rsidR="00285EFC" w:rsidRPr="005843F9" w:rsidRDefault="005843F9" w:rsidP="002151AD">
            <w:pPr>
              <w:spacing w:before="60" w:after="60"/>
            </w:pPr>
            <w:r w:rsidRPr="005843F9">
              <w:t xml:space="preserve">10 </w:t>
            </w:r>
            <w:r w:rsidR="001C55C8" w:rsidRPr="005843F9">
              <w:t>óra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Gyakorlati órák száma</w:t>
            </w:r>
          </w:p>
        </w:tc>
        <w:tc>
          <w:tcPr>
            <w:tcW w:w="10348" w:type="dxa"/>
            <w:shd w:val="clear" w:color="auto" w:fill="FFFFFF"/>
          </w:tcPr>
          <w:p w:rsidR="00285EFC" w:rsidRPr="005843F9" w:rsidRDefault="005843F9" w:rsidP="002151AD">
            <w:pPr>
              <w:spacing w:before="60" w:after="60"/>
            </w:pPr>
            <w:r w:rsidRPr="005843F9">
              <w:t>30 óra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A tananyagegység elvégzéséről szóló igazolás kiadásának feltételei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 xml:space="preserve">Mind az elméleti, mind a gyakorlati órákból maximum tíz százalékos hiányzás megengedhető 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Számonkérések formája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>A tanult készségek helyzetgyakorlatokban történő bemutatása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Számonkérések rendszeressége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>Tartalmi egységek lezárását követően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Számonkérések tartalma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5843F9" w:rsidP="005843F9">
            <w:pPr>
              <w:spacing w:before="60" w:after="60"/>
            </w:pPr>
            <w:r>
              <w:t>A betegségmenedzsmentre épülő saját</w:t>
            </w:r>
            <w:r w:rsidRPr="00943DC2">
              <w:t xml:space="preserve"> </w:t>
            </w:r>
            <w:r w:rsidR="00285EFC" w:rsidRPr="00943DC2">
              <w:t>önálló életvitelhez szükséges tevékenységek</w:t>
            </w:r>
            <w:r>
              <w:t>.</w:t>
            </w:r>
            <w:r w:rsidR="00285EFC" w:rsidRPr="00943DC2">
              <w:t xml:space="preserve"> 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 xml:space="preserve">A felnőttek tudásszintjének ellenőrzésére szolgáló </w:t>
            </w:r>
            <w:proofErr w:type="gramStart"/>
            <w:r w:rsidRPr="00943DC2">
              <w:t>módszer(</w:t>
            </w:r>
            <w:proofErr w:type="spellStart"/>
            <w:proofErr w:type="gramEnd"/>
            <w:r w:rsidRPr="00943DC2">
              <w:t>ek</w:t>
            </w:r>
            <w:proofErr w:type="spellEnd"/>
            <w:r w:rsidRPr="00943DC2">
              <w:t>)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 xml:space="preserve">A mentális problémákkal élő személyek támogatott lakhatásában, valós élethelyzetben követjük nyomon, a tréning során, hogy az elsajátított készségeket teljes körűen képesek-e önállóan használni  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Megszerezhető minősítések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>Nem releváns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Megszerezhető minősítésekhez tartozó követelményszintek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>Nem releváns</w:t>
            </w:r>
          </w:p>
        </w:tc>
      </w:tr>
      <w:tr w:rsidR="00285EFC" w:rsidRPr="00943DC2" w:rsidTr="002151AD"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lastRenderedPageBreak/>
              <w:t xml:space="preserve">Sikertelen </w:t>
            </w:r>
            <w:proofErr w:type="gramStart"/>
            <w:r w:rsidRPr="00943DC2">
              <w:t>teljesítés(</w:t>
            </w:r>
            <w:proofErr w:type="spellStart"/>
            <w:proofErr w:type="gramEnd"/>
            <w:r w:rsidRPr="00943DC2">
              <w:t>ek</w:t>
            </w:r>
            <w:proofErr w:type="spellEnd"/>
            <w:r w:rsidRPr="00943DC2">
              <w:t>) következménye(i)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>A készségfejlesztő tréning ismétlése</w:t>
            </w:r>
          </w:p>
        </w:tc>
      </w:tr>
    </w:tbl>
    <w:p w:rsidR="00285EFC" w:rsidRPr="00943DC2" w:rsidRDefault="00285EFC" w:rsidP="00285EFC">
      <w:pPr>
        <w:spacing w:after="200"/>
      </w:pP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285EFC" w:rsidRPr="00943DC2" w:rsidTr="002151AD">
        <w:trPr>
          <w:trHeight w:val="480"/>
        </w:trPr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Maximális csoportlétszám (fő)</w:t>
            </w:r>
          </w:p>
        </w:tc>
        <w:tc>
          <w:tcPr>
            <w:tcW w:w="10348" w:type="dxa"/>
            <w:vAlign w:val="center"/>
          </w:tcPr>
          <w:p w:rsidR="00285EFC" w:rsidRPr="00943DC2" w:rsidRDefault="00285EFC" w:rsidP="002151AD">
            <w:r w:rsidRPr="00943DC2">
              <w:t>10 fő</w:t>
            </w:r>
          </w:p>
        </w:tc>
      </w:tr>
    </w:tbl>
    <w:p w:rsidR="00285EFC" w:rsidRPr="00943DC2" w:rsidRDefault="00285EFC" w:rsidP="00285EFC"/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285EFC" w:rsidRPr="00943DC2" w:rsidTr="002151AD">
        <w:trPr>
          <w:cantSplit/>
        </w:trPr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Személyi feltételek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>Legalább 5 éves oktatási gyakorlattal rendelkező, a pszichiátriai betegek komplex pszicho-szociális rehabilitációjának eszközrendszerét ismerő, ezen a területen legalább 5 éves szakmai tapasztalattal rendelkező szakember</w:t>
            </w:r>
          </w:p>
        </w:tc>
      </w:tr>
      <w:tr w:rsidR="00285EFC" w:rsidRPr="00943DC2" w:rsidTr="002151AD">
        <w:trPr>
          <w:cantSplit/>
        </w:trPr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Személyi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spacing w:before="60" w:after="60"/>
            </w:pPr>
            <w:r w:rsidRPr="00943DC2">
              <w:t>Szerződéses jogviszony: munkaszerződés vagy megbízási szerződés.</w:t>
            </w:r>
          </w:p>
        </w:tc>
      </w:tr>
      <w:tr w:rsidR="00285EFC" w:rsidRPr="00943DC2" w:rsidTr="002151AD">
        <w:trPr>
          <w:cantSplit/>
        </w:trPr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Tárgyi feltételek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1C55C8">
            <w:pPr>
              <w:rPr>
                <w:spacing w:val="-6"/>
                <w:lang w:eastAsia="nl-NL"/>
              </w:rPr>
            </w:pPr>
            <w:r w:rsidRPr="00943DC2">
              <w:rPr>
                <w:spacing w:val="-6"/>
                <w:lang w:eastAsia="nl-NL"/>
              </w:rPr>
              <w:t>10 fő elhelyezésére alkalmas terem székekkel</w:t>
            </w:r>
          </w:p>
        </w:tc>
      </w:tr>
      <w:tr w:rsidR="00285EFC" w:rsidRPr="00943DC2" w:rsidTr="002151AD">
        <w:trPr>
          <w:cantSplit/>
        </w:trPr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Tárgyi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keepNext/>
              <w:spacing w:before="60" w:after="60"/>
            </w:pPr>
            <w:r w:rsidRPr="00943DC2">
              <w:t>Az infrastrukturális feltételek bérleményként, az eszközfeltételek a képző intézmény saját tulajdonú eszközeivel és anyagbeszerzésével biztosított.</w:t>
            </w:r>
          </w:p>
        </w:tc>
      </w:tr>
      <w:tr w:rsidR="00285EFC" w:rsidRPr="00943DC2" w:rsidTr="002151AD">
        <w:trPr>
          <w:cantSplit/>
        </w:trPr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Egyéb speciális feltételek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keepNext/>
              <w:spacing w:before="60" w:after="60"/>
            </w:pPr>
            <w:r w:rsidRPr="00943DC2">
              <w:t>Szükség esetén fizikai vagy kommunikációs akadálymentesítés, mindig a résztvevőknek megfelelően.</w:t>
            </w:r>
          </w:p>
        </w:tc>
      </w:tr>
      <w:tr w:rsidR="00285EFC" w:rsidRPr="00943DC2" w:rsidTr="002151AD">
        <w:trPr>
          <w:cantSplit/>
        </w:trPr>
        <w:tc>
          <w:tcPr>
            <w:tcW w:w="3544" w:type="dxa"/>
            <w:shd w:val="clear" w:color="auto" w:fill="F2F2F2"/>
          </w:tcPr>
          <w:p w:rsidR="00285EFC" w:rsidRPr="00943DC2" w:rsidRDefault="00285EFC" w:rsidP="002151AD">
            <w:pPr>
              <w:spacing w:before="60" w:after="60"/>
            </w:pPr>
            <w:r w:rsidRPr="00943DC2">
              <w:t>Egyéb speciális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285EFC" w:rsidRPr="00943DC2" w:rsidRDefault="00285EFC" w:rsidP="002151AD">
            <w:pPr>
              <w:keepNext/>
              <w:spacing w:before="60" w:after="60"/>
            </w:pPr>
            <w:r w:rsidRPr="00943DC2">
              <w:t>egyéni speciális szükségleteknek megfelelően eltérő</w:t>
            </w:r>
          </w:p>
        </w:tc>
      </w:tr>
    </w:tbl>
    <w:p w:rsidR="00285EFC" w:rsidRPr="00F24DC1" w:rsidRDefault="00285EFC" w:rsidP="00F24DC1"/>
    <w:sectPr w:rsidR="00285EFC" w:rsidRPr="00F24DC1" w:rsidSect="006A7E13">
      <w:headerReference w:type="default" r:id="rId8"/>
      <w:footerReference w:type="default" r:id="rId9"/>
      <w:pgSz w:w="16838" w:h="11906" w:orient="landscape" w:code="9"/>
      <w:pgMar w:top="720" w:right="720" w:bottom="720" w:left="720" w:header="119" w:footer="1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72" w:rsidRDefault="00427872">
      <w:r>
        <w:separator/>
      </w:r>
    </w:p>
  </w:endnote>
  <w:endnote w:type="continuationSeparator" w:id="0">
    <w:p w:rsidR="00427872" w:rsidRDefault="0042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72" w:rsidRDefault="00427872" w:rsidP="00090798">
    <w:pPr>
      <w:pStyle w:val="llb"/>
      <w:tabs>
        <w:tab w:val="clear" w:pos="4536"/>
        <w:tab w:val="clear" w:pos="9072"/>
        <w:tab w:val="center" w:pos="7568"/>
        <w:tab w:val="right" w:pos="15136"/>
      </w:tabs>
      <w:jc w:val="right"/>
    </w:pPr>
    <w:r>
      <w:rPr>
        <w:rFonts w:ascii="Verdana" w:hAnsi="Verdana"/>
        <w:noProof/>
        <w:sz w:val="20"/>
      </w:rPr>
      <w:drawing>
        <wp:inline distT="0" distB="0" distL="0" distR="0" wp14:anchorId="30FF7372" wp14:editId="52FCB61A">
          <wp:extent cx="1251585" cy="772795"/>
          <wp:effectExtent l="19050" t="0" r="5715" b="0"/>
          <wp:docPr id="6" name="Kép 5" descr="fsz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fsz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772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mallCaps/>
        <w:noProof/>
        <w:sz w:val="20"/>
      </w:rPr>
      <w:drawing>
        <wp:inline distT="0" distB="0" distL="0" distR="0" wp14:anchorId="43E2ED8B" wp14:editId="73BFCF20">
          <wp:extent cx="772795" cy="707390"/>
          <wp:effectExtent l="19050" t="0" r="8255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Verdana" w:hAnsi="Verdana"/>
        <w:noProof/>
        <w:sz w:val="20"/>
      </w:rPr>
      <w:drawing>
        <wp:inline distT="0" distB="0" distL="0" distR="0" wp14:anchorId="2079F277" wp14:editId="0157922E">
          <wp:extent cx="1127760" cy="1024255"/>
          <wp:effectExtent l="1905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72" w:rsidRDefault="00427872">
      <w:r>
        <w:separator/>
      </w:r>
    </w:p>
  </w:footnote>
  <w:footnote w:type="continuationSeparator" w:id="0">
    <w:p w:rsidR="00427872" w:rsidRDefault="00427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72" w:rsidRPr="00EA7791" w:rsidRDefault="00427872" w:rsidP="00D51D40">
    <w:pPr>
      <w:tabs>
        <w:tab w:val="left" w:pos="-142"/>
        <w:tab w:val="center" w:pos="0"/>
      </w:tabs>
      <w:jc w:val="center"/>
      <w:rPr>
        <w:b/>
      </w:rPr>
    </w:pPr>
  </w:p>
  <w:p w:rsidR="00427872" w:rsidRDefault="00427872">
    <w:pPr>
      <w:pStyle w:val="lfej"/>
    </w:pPr>
    <w:r>
      <w:rPr>
        <w:noProof/>
      </w:rPr>
      <w:drawing>
        <wp:inline distT="0" distB="0" distL="0" distR="0" wp14:anchorId="20291EAD" wp14:editId="648A8439">
          <wp:extent cx="2514600" cy="718185"/>
          <wp:effectExtent l="19050" t="0" r="0" b="0"/>
          <wp:docPr id="1" name="Kép 1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7872" w:rsidRPr="0045347A" w:rsidRDefault="00F47237" w:rsidP="008E245D">
    <w:pPr>
      <w:pStyle w:val="lfej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center" w:pos="7533"/>
      </w:tabs>
      <w:ind w:left="-360" w:right="-290"/>
      <w:rPr>
        <w:rFonts w:ascii="Verdana" w:hAnsi="Verdana"/>
        <w:sz w:val="2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Egyenes összekötő nyíllal 1" o:spid="_x0000_s2054" type="#_x0000_t32" style="position:absolute;left:0;text-align:left;margin-left:3.95pt;margin-top:1.7pt;width:749.2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" strokecolor="#8cb335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D928C5"/>
    <w:multiLevelType w:val="multilevel"/>
    <w:tmpl w:val="73F649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2E23D07"/>
    <w:multiLevelType w:val="hybridMultilevel"/>
    <w:tmpl w:val="0B9813B2"/>
    <w:lvl w:ilvl="0" w:tplc="BBE829D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5DA2"/>
    <w:multiLevelType w:val="multilevel"/>
    <w:tmpl w:val="B84016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63A0002"/>
    <w:multiLevelType w:val="hybridMultilevel"/>
    <w:tmpl w:val="2EA00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05274"/>
    <w:multiLevelType w:val="hybridMultilevel"/>
    <w:tmpl w:val="4BF460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B510C1"/>
    <w:multiLevelType w:val="multilevel"/>
    <w:tmpl w:val="D9285A08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7">
    <w:nsid w:val="0F7E7877"/>
    <w:multiLevelType w:val="hybridMultilevel"/>
    <w:tmpl w:val="76C01FDA"/>
    <w:lvl w:ilvl="0" w:tplc="D8F017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71D5"/>
    <w:multiLevelType w:val="hybridMultilevel"/>
    <w:tmpl w:val="71C6298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12079"/>
    <w:multiLevelType w:val="hybridMultilevel"/>
    <w:tmpl w:val="09C8964A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4966"/>
    <w:multiLevelType w:val="hybridMultilevel"/>
    <w:tmpl w:val="0AE65FB8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B75F2"/>
    <w:multiLevelType w:val="hybridMultilevel"/>
    <w:tmpl w:val="232EEE7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B5E03"/>
    <w:multiLevelType w:val="hybridMultilevel"/>
    <w:tmpl w:val="C93ED1DA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F6DCC"/>
    <w:multiLevelType w:val="hybridMultilevel"/>
    <w:tmpl w:val="70BE9F3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66F32B9"/>
    <w:multiLevelType w:val="hybridMultilevel"/>
    <w:tmpl w:val="35DA5208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E4AF8"/>
    <w:multiLevelType w:val="hybridMultilevel"/>
    <w:tmpl w:val="C1B6DD3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06AFA"/>
    <w:multiLevelType w:val="hybridMultilevel"/>
    <w:tmpl w:val="A180445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024B4"/>
    <w:multiLevelType w:val="hybridMultilevel"/>
    <w:tmpl w:val="8B68B29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A245F"/>
    <w:multiLevelType w:val="hybridMultilevel"/>
    <w:tmpl w:val="205A690A"/>
    <w:lvl w:ilvl="0" w:tplc="BBE829D6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F31A6"/>
    <w:multiLevelType w:val="hybridMultilevel"/>
    <w:tmpl w:val="DB002F8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50919"/>
    <w:multiLevelType w:val="hybridMultilevel"/>
    <w:tmpl w:val="CF2E8ED6"/>
    <w:lvl w:ilvl="0" w:tplc="AF40A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B00B2"/>
    <w:multiLevelType w:val="hybridMultilevel"/>
    <w:tmpl w:val="160E5D82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60F79"/>
    <w:multiLevelType w:val="hybridMultilevel"/>
    <w:tmpl w:val="9A24FB8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05954"/>
    <w:multiLevelType w:val="hybridMultilevel"/>
    <w:tmpl w:val="6AF49F1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4041B"/>
    <w:multiLevelType w:val="hybridMultilevel"/>
    <w:tmpl w:val="6C3C9F14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71E66"/>
    <w:multiLevelType w:val="hybridMultilevel"/>
    <w:tmpl w:val="EBF4977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755D1"/>
    <w:multiLevelType w:val="hybridMultilevel"/>
    <w:tmpl w:val="F07C580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C3E5A"/>
    <w:multiLevelType w:val="hybridMultilevel"/>
    <w:tmpl w:val="A71A0314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83579"/>
    <w:multiLevelType w:val="hybridMultilevel"/>
    <w:tmpl w:val="2CA40AB6"/>
    <w:lvl w:ilvl="0" w:tplc="BBE829D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C71C5D"/>
    <w:multiLevelType w:val="hybridMultilevel"/>
    <w:tmpl w:val="C86E9C44"/>
    <w:lvl w:ilvl="0" w:tplc="ADC2A0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3"/>
  </w:num>
  <w:num w:numId="8">
    <w:abstractNumId w:val="0"/>
  </w:num>
  <w:num w:numId="9">
    <w:abstractNumId w:val="27"/>
  </w:num>
  <w:num w:numId="10">
    <w:abstractNumId w:val="11"/>
  </w:num>
  <w:num w:numId="11">
    <w:abstractNumId w:val="8"/>
  </w:num>
  <w:num w:numId="12">
    <w:abstractNumId w:val="21"/>
  </w:num>
  <w:num w:numId="13">
    <w:abstractNumId w:val="16"/>
  </w:num>
  <w:num w:numId="14">
    <w:abstractNumId w:val="24"/>
  </w:num>
  <w:num w:numId="15">
    <w:abstractNumId w:val="19"/>
  </w:num>
  <w:num w:numId="16">
    <w:abstractNumId w:val="23"/>
  </w:num>
  <w:num w:numId="17">
    <w:abstractNumId w:val="15"/>
  </w:num>
  <w:num w:numId="18">
    <w:abstractNumId w:val="4"/>
  </w:num>
  <w:num w:numId="19">
    <w:abstractNumId w:val="26"/>
  </w:num>
  <w:num w:numId="20">
    <w:abstractNumId w:val="17"/>
  </w:num>
  <w:num w:numId="21">
    <w:abstractNumId w:val="10"/>
  </w:num>
  <w:num w:numId="22">
    <w:abstractNumId w:val="12"/>
  </w:num>
  <w:num w:numId="23">
    <w:abstractNumId w:val="14"/>
  </w:num>
  <w:num w:numId="24">
    <w:abstractNumId w:val="22"/>
  </w:num>
  <w:num w:numId="25">
    <w:abstractNumId w:val="9"/>
  </w:num>
  <w:num w:numId="26">
    <w:abstractNumId w:val="29"/>
  </w:num>
  <w:num w:numId="27">
    <w:abstractNumId w:val="18"/>
  </w:num>
  <w:num w:numId="28">
    <w:abstractNumId w:val="2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Egyenes összekötő nyíllal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ED1"/>
    <w:rsid w:val="00005846"/>
    <w:rsid w:val="00006AF7"/>
    <w:rsid w:val="000117C0"/>
    <w:rsid w:val="00011CB7"/>
    <w:rsid w:val="00014DEB"/>
    <w:rsid w:val="0004641A"/>
    <w:rsid w:val="00050542"/>
    <w:rsid w:val="00050662"/>
    <w:rsid w:val="000560C2"/>
    <w:rsid w:val="000649E7"/>
    <w:rsid w:val="000820EA"/>
    <w:rsid w:val="00090798"/>
    <w:rsid w:val="00094A04"/>
    <w:rsid w:val="000A0AC3"/>
    <w:rsid w:val="000A2953"/>
    <w:rsid w:val="000B4658"/>
    <w:rsid w:val="000E5475"/>
    <w:rsid w:val="000F4076"/>
    <w:rsid w:val="000F72A4"/>
    <w:rsid w:val="00103153"/>
    <w:rsid w:val="00116DF2"/>
    <w:rsid w:val="0015518B"/>
    <w:rsid w:val="001553F9"/>
    <w:rsid w:val="00172EEE"/>
    <w:rsid w:val="00173339"/>
    <w:rsid w:val="0018622D"/>
    <w:rsid w:val="001A06F9"/>
    <w:rsid w:val="001A54B4"/>
    <w:rsid w:val="001A748D"/>
    <w:rsid w:val="001B0749"/>
    <w:rsid w:val="001C5253"/>
    <w:rsid w:val="001C55C8"/>
    <w:rsid w:val="001D0984"/>
    <w:rsid w:val="001D4835"/>
    <w:rsid w:val="001E20CB"/>
    <w:rsid w:val="001E35D7"/>
    <w:rsid w:val="001F3D90"/>
    <w:rsid w:val="0022471A"/>
    <w:rsid w:val="002609DD"/>
    <w:rsid w:val="00261E17"/>
    <w:rsid w:val="002702AD"/>
    <w:rsid w:val="002774C1"/>
    <w:rsid w:val="00285EFC"/>
    <w:rsid w:val="0028784A"/>
    <w:rsid w:val="00294927"/>
    <w:rsid w:val="002A68E7"/>
    <w:rsid w:val="002D492B"/>
    <w:rsid w:val="002D59D6"/>
    <w:rsid w:val="002F5286"/>
    <w:rsid w:val="002F5F88"/>
    <w:rsid w:val="002F65F1"/>
    <w:rsid w:val="00302309"/>
    <w:rsid w:val="00306D0E"/>
    <w:rsid w:val="003104BE"/>
    <w:rsid w:val="003307B7"/>
    <w:rsid w:val="003374FA"/>
    <w:rsid w:val="0034432A"/>
    <w:rsid w:val="00372D8D"/>
    <w:rsid w:val="003765EF"/>
    <w:rsid w:val="00384535"/>
    <w:rsid w:val="003D043B"/>
    <w:rsid w:val="003D42FB"/>
    <w:rsid w:val="003D49EF"/>
    <w:rsid w:val="003E1F42"/>
    <w:rsid w:val="00400AD6"/>
    <w:rsid w:val="004119B2"/>
    <w:rsid w:val="00417575"/>
    <w:rsid w:val="00426B0A"/>
    <w:rsid w:val="00427872"/>
    <w:rsid w:val="00434307"/>
    <w:rsid w:val="0043654C"/>
    <w:rsid w:val="0043722D"/>
    <w:rsid w:val="004430C5"/>
    <w:rsid w:val="004470AE"/>
    <w:rsid w:val="0045333D"/>
    <w:rsid w:val="00462C44"/>
    <w:rsid w:val="004639FC"/>
    <w:rsid w:val="0047281D"/>
    <w:rsid w:val="00472EBB"/>
    <w:rsid w:val="004C6C08"/>
    <w:rsid w:val="004C70FA"/>
    <w:rsid w:val="004E514D"/>
    <w:rsid w:val="005043C5"/>
    <w:rsid w:val="0052126A"/>
    <w:rsid w:val="00533754"/>
    <w:rsid w:val="005377EE"/>
    <w:rsid w:val="00556757"/>
    <w:rsid w:val="00573C58"/>
    <w:rsid w:val="005775F1"/>
    <w:rsid w:val="005843F9"/>
    <w:rsid w:val="005A11AF"/>
    <w:rsid w:val="005B7484"/>
    <w:rsid w:val="005D4F92"/>
    <w:rsid w:val="005D60F6"/>
    <w:rsid w:val="005F03BB"/>
    <w:rsid w:val="005F5D59"/>
    <w:rsid w:val="006001DB"/>
    <w:rsid w:val="0060114D"/>
    <w:rsid w:val="00614317"/>
    <w:rsid w:val="00615D21"/>
    <w:rsid w:val="00625CBD"/>
    <w:rsid w:val="006405AE"/>
    <w:rsid w:val="00657EA4"/>
    <w:rsid w:val="006845EA"/>
    <w:rsid w:val="00690264"/>
    <w:rsid w:val="00696916"/>
    <w:rsid w:val="006A3F13"/>
    <w:rsid w:val="006A7E13"/>
    <w:rsid w:val="006C21C0"/>
    <w:rsid w:val="006C6E8F"/>
    <w:rsid w:val="006D30DD"/>
    <w:rsid w:val="006D6564"/>
    <w:rsid w:val="006E39B6"/>
    <w:rsid w:val="006F14E3"/>
    <w:rsid w:val="006F4963"/>
    <w:rsid w:val="00702757"/>
    <w:rsid w:val="00723D08"/>
    <w:rsid w:val="00724DCA"/>
    <w:rsid w:val="00725058"/>
    <w:rsid w:val="00756932"/>
    <w:rsid w:val="0077093E"/>
    <w:rsid w:val="00780A0F"/>
    <w:rsid w:val="00785FBE"/>
    <w:rsid w:val="007922E9"/>
    <w:rsid w:val="00793471"/>
    <w:rsid w:val="007A6FA2"/>
    <w:rsid w:val="007B0CFB"/>
    <w:rsid w:val="007C2544"/>
    <w:rsid w:val="007C6821"/>
    <w:rsid w:val="007E44D2"/>
    <w:rsid w:val="007E50F8"/>
    <w:rsid w:val="007F08B7"/>
    <w:rsid w:val="007F298E"/>
    <w:rsid w:val="007F7649"/>
    <w:rsid w:val="008403C5"/>
    <w:rsid w:val="0084467E"/>
    <w:rsid w:val="00847748"/>
    <w:rsid w:val="00852F9C"/>
    <w:rsid w:val="008600B7"/>
    <w:rsid w:val="008601BA"/>
    <w:rsid w:val="00865311"/>
    <w:rsid w:val="0089707F"/>
    <w:rsid w:val="008B01CF"/>
    <w:rsid w:val="008B7524"/>
    <w:rsid w:val="008C536B"/>
    <w:rsid w:val="008D5259"/>
    <w:rsid w:val="008E245D"/>
    <w:rsid w:val="008E7C0F"/>
    <w:rsid w:val="008F3828"/>
    <w:rsid w:val="009023E9"/>
    <w:rsid w:val="009150BB"/>
    <w:rsid w:val="0093567A"/>
    <w:rsid w:val="00943DC2"/>
    <w:rsid w:val="00967D03"/>
    <w:rsid w:val="00973FCC"/>
    <w:rsid w:val="00985BEB"/>
    <w:rsid w:val="00994EDE"/>
    <w:rsid w:val="009952BD"/>
    <w:rsid w:val="0099622D"/>
    <w:rsid w:val="009B0752"/>
    <w:rsid w:val="009B652B"/>
    <w:rsid w:val="009D41E7"/>
    <w:rsid w:val="009E053A"/>
    <w:rsid w:val="009F3CD0"/>
    <w:rsid w:val="009F44DC"/>
    <w:rsid w:val="009F7B6A"/>
    <w:rsid w:val="009F7F1B"/>
    <w:rsid w:val="00A003BB"/>
    <w:rsid w:val="00A15B23"/>
    <w:rsid w:val="00A40F24"/>
    <w:rsid w:val="00A40FA5"/>
    <w:rsid w:val="00A53EA1"/>
    <w:rsid w:val="00A57749"/>
    <w:rsid w:val="00A80D97"/>
    <w:rsid w:val="00A929F4"/>
    <w:rsid w:val="00A96521"/>
    <w:rsid w:val="00AB0F04"/>
    <w:rsid w:val="00AC201F"/>
    <w:rsid w:val="00AD5F67"/>
    <w:rsid w:val="00AF159D"/>
    <w:rsid w:val="00AF7AA1"/>
    <w:rsid w:val="00B16CFE"/>
    <w:rsid w:val="00B315BE"/>
    <w:rsid w:val="00B4574D"/>
    <w:rsid w:val="00BA42CE"/>
    <w:rsid w:val="00BB18A0"/>
    <w:rsid w:val="00BC4DC6"/>
    <w:rsid w:val="00BF3146"/>
    <w:rsid w:val="00BF3435"/>
    <w:rsid w:val="00BF5BF8"/>
    <w:rsid w:val="00BF5C7B"/>
    <w:rsid w:val="00C05467"/>
    <w:rsid w:val="00C06AE8"/>
    <w:rsid w:val="00C149F0"/>
    <w:rsid w:val="00C24165"/>
    <w:rsid w:val="00C36B6E"/>
    <w:rsid w:val="00C45F14"/>
    <w:rsid w:val="00C72F97"/>
    <w:rsid w:val="00C91D23"/>
    <w:rsid w:val="00C97E70"/>
    <w:rsid w:val="00CA2AA4"/>
    <w:rsid w:val="00CB025E"/>
    <w:rsid w:val="00CB3F42"/>
    <w:rsid w:val="00D2182E"/>
    <w:rsid w:val="00D406F2"/>
    <w:rsid w:val="00D51D40"/>
    <w:rsid w:val="00D5456F"/>
    <w:rsid w:val="00D609E2"/>
    <w:rsid w:val="00D675D8"/>
    <w:rsid w:val="00D70812"/>
    <w:rsid w:val="00D7618E"/>
    <w:rsid w:val="00D763F0"/>
    <w:rsid w:val="00D847C4"/>
    <w:rsid w:val="00DB40F5"/>
    <w:rsid w:val="00E07A5A"/>
    <w:rsid w:val="00E44EE4"/>
    <w:rsid w:val="00E50D4F"/>
    <w:rsid w:val="00E51CB0"/>
    <w:rsid w:val="00E524AB"/>
    <w:rsid w:val="00E57431"/>
    <w:rsid w:val="00E66DAC"/>
    <w:rsid w:val="00E87E35"/>
    <w:rsid w:val="00EA7791"/>
    <w:rsid w:val="00ED1669"/>
    <w:rsid w:val="00F02057"/>
    <w:rsid w:val="00F07565"/>
    <w:rsid w:val="00F10CE2"/>
    <w:rsid w:val="00F24DC1"/>
    <w:rsid w:val="00F27F8C"/>
    <w:rsid w:val="00F30454"/>
    <w:rsid w:val="00F47237"/>
    <w:rsid w:val="00F47E34"/>
    <w:rsid w:val="00F623C7"/>
    <w:rsid w:val="00F66C72"/>
    <w:rsid w:val="00F70DF5"/>
    <w:rsid w:val="00F748B6"/>
    <w:rsid w:val="00F847AD"/>
    <w:rsid w:val="00F94817"/>
    <w:rsid w:val="00FC2A68"/>
    <w:rsid w:val="00FD0356"/>
    <w:rsid w:val="00FD2B4E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Egyenes összekötő nyíllal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ED1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FE6ED1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E6ED1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E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E6ED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72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3567A"/>
    <w:pPr>
      <w:ind w:left="720"/>
      <w:contextualSpacing/>
    </w:pPr>
  </w:style>
  <w:style w:type="paragraph" w:customStyle="1" w:styleId="Standard">
    <w:name w:val="Standard"/>
    <w:rsid w:val="00CB025E"/>
    <w:pPr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403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7</Pages>
  <Words>1397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Mata-Szrena Renáta</dc:creator>
  <cp:lastModifiedBy>Farkasné Gönczi Rita</cp:lastModifiedBy>
  <cp:revision>162</cp:revision>
  <cp:lastPrinted>2015-04-15T08:23:00Z</cp:lastPrinted>
  <dcterms:created xsi:type="dcterms:W3CDTF">2015-09-14T10:39:00Z</dcterms:created>
  <dcterms:modified xsi:type="dcterms:W3CDTF">2016-01-07T09:38:00Z</dcterms:modified>
</cp:coreProperties>
</file>