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Arnold van Zyl (born April 1, 1959 in Swellendam, South Africa)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President of the Baden-Württemberg University of Applied Sciences/Duale Hochschule Baden-Württemberg (DHBW)</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An engineer and university lecturer. From 2012 to 2015 he was rector of the Technical University of Chemnitz. Since 1 February 2016 he is the President of the Baden-Württemberg University of Applied Sciences.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Mr Johannes Haas –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Head of Department of the co-op study programme “Production Technology and Organization“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 FH Joanneum University of Applied Sciences in Gratz.</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i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Head of Degree Programme, at FH Joanneum University of Applied Sciences in Gratz.</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Partner in a number of European projects. He was the designer of the first cooperative education programme in Austrian HE in1999-2002.   Since September 2002 he is, Head of Department of the co-op study programme “Production Technology and Organization“ and since 2007 Member of the Board of Governors of WACE (World Association of Cooperative Education) and since 2008 Speaker of the FH JOANNEUM School of Information, Design and Technologies.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Katharina Maschke –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Head of section “Strategic development and higher education policy”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b w:val="1"/>
          <w:rtl w:val="0"/>
        </w:rPr>
        <w:t xml:space="preserve">German Academic Exchange Services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M.A., works at the German Academic Exchange Services (DAAD) since 2011; since April 2016 she serves as head of section “Strategic development and higher education policy”. One of her main focus areas during the last years was the internationalisation of dual study programmes. In this field, she coordinated the publication “Dual Study Programmes in Global Context: Internationalisation in Germany and Transfer to Brazil, France, Qatar, Mexico and the US”. Katharina holds a double-degree in political and social sciences from the University of Stuttgart and Sciences Po Bordeaux.</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Sarah Leopold –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Business Training –Coordinator </w:t>
      </w:r>
    </w:p>
    <w:p w:rsidR="00000000" w:rsidDel="00000000" w:rsidP="00000000" w:rsidRDefault="00000000" w:rsidRPr="00000000">
      <w:pPr>
        <w:keepNext w:val="1"/>
        <w:pBdr>
          <w:top w:space="0" w:sz="0" w:val="nil"/>
          <w:left w:space="0" w:sz="0" w:val="nil"/>
          <w:bottom w:space="0" w:sz="0" w:val="nil"/>
          <w:right w:space="0" w:sz="0" w:val="nil"/>
          <w:between w:space="0" w:sz="0" w:val="nil"/>
        </w:pBdr>
        <w:contextualSpacing w:val="0"/>
        <w:rPr>
          <w:b w:val="1"/>
        </w:rPr>
      </w:pPr>
      <w:r w:rsidDel="00000000" w:rsidR="00000000" w:rsidRPr="00000000">
        <w:rPr>
          <w:rFonts w:ascii="Arial" w:cs="Arial" w:eastAsia="Arial" w:hAnsi="Arial"/>
          <w:b w:val="1"/>
          <w:color w:val="000000"/>
          <w:sz w:val="20"/>
          <w:szCs w:val="20"/>
          <w:rtl w:val="0"/>
        </w:rPr>
        <w:t xml:space="preserve">Bayer Pharma AG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She deals with disciplinary supervision of apprentices within business training, works with the conception/ optimization of recruiting instruments, accomplishment of internal seminars focusing on soft skills and generic competencies, Supervisor of apprentices, students and interns </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contextualSpacing w:val="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Participation int he examination board at the Berlin School of Economic and Law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Sophia Overbeeke –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Team Leader for Education Advice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b w:val="1"/>
          <w:rtl w:val="0"/>
        </w:rPr>
        <w:t xml:space="preserve"> Windesheim Flevoland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In this role she works on the continuous improvement of practical learning (part of the educational concept of Windesheim Flevoland). This involves the operationalization and improvement of the educational concept, setting up training sessions for teachers and practical trainers, supporting programs in their educational development and advising the MT Windesheim Flevoland, quartermaster comakership.</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Zoltán Kolozsváry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Managing Director , President of the Board,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rPr>
      </w:pPr>
      <w:r w:rsidDel="00000000" w:rsidR="00000000" w:rsidRPr="00000000">
        <w:rPr>
          <w:b w:val="1"/>
          <w:rtl w:val="0"/>
        </w:rPr>
        <w:t xml:space="preserve">SC. Plasmaterm S.A</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Associated Professor at “Petru Maior” University Tg.Mures, from 1996 at the” Sapientia” University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Fellow of the International Federation for Heat Treatment and Surface Engineering 2008, Doctor Honoris Causa Miskolc University  2012, Honorary Member of the Romanian Academy of Technical Sciences, Honorary member of Hungarian Academy of Engineering, Honorary member of the Russian Society for Metalurgy, member of the Materials Science group of the Hungarian Academy of Sciences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More than 200 scientific publication in 8 languages, 14 patents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Dr. János Rudnay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President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Dual Education Council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bookmarkStart w:colFirst="0" w:colLast="0" w:name="_gjdgxs" w:id="0"/>
      <w:bookmarkEnd w:id="0"/>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Dr. László Palkovics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State Secretary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Ministry of Human Capacities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Ádám Szigeti</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Chief Policy Adviser at Ministry of Human Resources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t xml:space="preserve">Ministry of Human Resources</w:t>
      </w:r>
    </w:p>
    <w:sectPr>
      <w:pgSz w:h="16838" w:w="11906"/>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