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92" w:rsidRPr="00592992" w:rsidRDefault="00802E92" w:rsidP="004625F5">
      <w:pPr>
        <w:jc w:val="center"/>
        <w:rPr>
          <w:b/>
          <w:bCs/>
          <w:smallCaps/>
          <w:sz w:val="28"/>
          <w:szCs w:val="28"/>
          <w:lang w:val="hu-HU"/>
        </w:rPr>
      </w:pPr>
      <w:r w:rsidRPr="00592992">
        <w:rPr>
          <w:b/>
          <w:bCs/>
          <w:smallCaps/>
          <w:sz w:val="28"/>
          <w:szCs w:val="28"/>
          <w:lang w:val="hu-HU"/>
        </w:rPr>
        <w:t>A szakértői feladatokhoz kapcsolódó jogok és kötelezettségek</w:t>
      </w:r>
    </w:p>
    <w:p w:rsidR="00802E92" w:rsidRPr="00592992" w:rsidRDefault="00802E92" w:rsidP="004625F5">
      <w:pPr>
        <w:jc w:val="both"/>
        <w:rPr>
          <w:rFonts w:cs="Times New Roman"/>
          <w:lang w:val="hu-HU"/>
        </w:rPr>
      </w:pPr>
    </w:p>
    <w:p w:rsidR="00802E92" w:rsidRPr="00592992" w:rsidRDefault="00802E92" w:rsidP="004625F5">
      <w:pPr>
        <w:jc w:val="both"/>
        <w:rPr>
          <w:rFonts w:cs="Times New Roman"/>
          <w:lang w:val="hu-HU"/>
        </w:rPr>
      </w:pPr>
      <w:r>
        <w:rPr>
          <w:lang w:val="hu-HU"/>
        </w:rPr>
        <w:t>A Tempus Közalapítvány a pályázatok kiválasztása, a projektmegvalósítás nyomon követése, ellenőrzése, valamint a projektek eredményességének értékelése során külső szakértők közreműködését veszi igénybe.</w:t>
      </w:r>
    </w:p>
    <w:p w:rsidR="00802E92" w:rsidRPr="00592992" w:rsidRDefault="00802E92" w:rsidP="004625F5">
      <w:pPr>
        <w:jc w:val="both"/>
        <w:rPr>
          <w:rFonts w:cs="Times New Roman"/>
          <w:lang w:val="hu-HU"/>
        </w:rPr>
      </w:pPr>
    </w:p>
    <w:p w:rsidR="00802E92" w:rsidRPr="00592992" w:rsidRDefault="00802E92" w:rsidP="00271559">
      <w:pPr>
        <w:jc w:val="center"/>
        <w:rPr>
          <w:rFonts w:cs="Times New Roman"/>
          <w:b/>
          <w:bCs/>
          <w:lang w:val="hu-HU"/>
        </w:rPr>
      </w:pPr>
      <w:r>
        <w:rPr>
          <w:b/>
          <w:bCs/>
          <w:lang w:val="hu-HU"/>
        </w:rPr>
        <w:t>A pályázatokhoz és projektmegvalósításhoz kapcsolódóan</w:t>
      </w:r>
    </w:p>
    <w:p w:rsidR="00802E92" w:rsidRPr="00592992" w:rsidRDefault="00802E92" w:rsidP="004625F5">
      <w:pPr>
        <w:spacing w:before="120"/>
        <w:jc w:val="both"/>
        <w:rPr>
          <w:rFonts w:cs="Times New Roman"/>
          <w:b/>
          <w:bCs/>
          <w:lang w:val="hu-HU"/>
        </w:rPr>
      </w:pPr>
      <w:r>
        <w:rPr>
          <w:b/>
          <w:bCs/>
          <w:lang w:val="hu-HU"/>
        </w:rPr>
        <w:t xml:space="preserve">A szakértői közreműködés célja: </w:t>
      </w:r>
    </w:p>
    <w:p w:rsidR="00802E92" w:rsidRPr="00592992" w:rsidRDefault="00802E92" w:rsidP="004625F5">
      <w:pPr>
        <w:pStyle w:val="Listaszerbekezds"/>
        <w:numPr>
          <w:ilvl w:val="0"/>
          <w:numId w:val="1"/>
        </w:numPr>
        <w:jc w:val="both"/>
        <w:rPr>
          <w:rFonts w:cs="Times New Roman"/>
          <w:lang w:val="hu-HU"/>
        </w:rPr>
      </w:pPr>
      <w:r>
        <w:rPr>
          <w:lang w:val="hu-HU"/>
        </w:rPr>
        <w:t>a független, pártatlan megítélés</w:t>
      </w:r>
    </w:p>
    <w:p w:rsidR="00802E92" w:rsidRPr="00592992" w:rsidRDefault="00802E92" w:rsidP="00CE70C1">
      <w:pPr>
        <w:pStyle w:val="Listaszerbekezds"/>
        <w:numPr>
          <w:ilvl w:val="0"/>
          <w:numId w:val="1"/>
        </w:numPr>
        <w:spacing w:after="120"/>
        <w:ind w:left="714" w:hanging="357"/>
        <w:jc w:val="both"/>
        <w:rPr>
          <w:rFonts w:cs="Times New Roman"/>
          <w:lang w:val="hu-HU"/>
        </w:rPr>
      </w:pPr>
      <w:r>
        <w:rPr>
          <w:lang w:val="hu-HU"/>
        </w:rPr>
        <w:t>a szakmai tartalom minőségi elbírálása.</w:t>
      </w:r>
    </w:p>
    <w:p w:rsidR="00802E92" w:rsidRPr="00592992" w:rsidRDefault="00802E92" w:rsidP="004625F5">
      <w:pPr>
        <w:spacing w:before="120"/>
        <w:jc w:val="both"/>
        <w:rPr>
          <w:rFonts w:cs="Times New Roman"/>
          <w:b/>
          <w:bCs/>
          <w:lang w:val="hu-HU"/>
        </w:rPr>
      </w:pPr>
      <w:r>
        <w:rPr>
          <w:b/>
          <w:bCs/>
          <w:lang w:val="hu-HU"/>
        </w:rPr>
        <w:t xml:space="preserve">A szakértői közreműködés formái: </w:t>
      </w:r>
    </w:p>
    <w:p w:rsidR="00802E92" w:rsidRPr="00592992" w:rsidRDefault="00802E92" w:rsidP="004625F5">
      <w:pPr>
        <w:pStyle w:val="Listaszerbekezds"/>
        <w:numPr>
          <w:ilvl w:val="0"/>
          <w:numId w:val="2"/>
        </w:numPr>
        <w:jc w:val="both"/>
        <w:rPr>
          <w:rFonts w:cs="Times New Roman"/>
          <w:lang w:val="hu-HU"/>
        </w:rPr>
      </w:pPr>
      <w:r>
        <w:rPr>
          <w:lang w:val="hu-HU"/>
        </w:rPr>
        <w:t>értékelés és bírálat</w:t>
      </w:r>
    </w:p>
    <w:p w:rsidR="00802E92" w:rsidRPr="00592992" w:rsidRDefault="00802E92" w:rsidP="004625F5">
      <w:pPr>
        <w:pStyle w:val="Listaszerbekezds"/>
        <w:numPr>
          <w:ilvl w:val="1"/>
          <w:numId w:val="2"/>
        </w:numPr>
        <w:jc w:val="both"/>
        <w:rPr>
          <w:rFonts w:cs="Times New Roman"/>
          <w:lang w:val="hu-HU"/>
        </w:rPr>
      </w:pPr>
      <w:r>
        <w:rPr>
          <w:lang w:val="hu-HU"/>
        </w:rPr>
        <w:t>a pályázatok kiválasztása során</w:t>
      </w:r>
    </w:p>
    <w:p w:rsidR="00802E92" w:rsidRPr="00592992" w:rsidRDefault="00802E92" w:rsidP="004625F5">
      <w:pPr>
        <w:pStyle w:val="Listaszerbekezds"/>
        <w:numPr>
          <w:ilvl w:val="1"/>
          <w:numId w:val="2"/>
        </w:numPr>
        <w:jc w:val="both"/>
        <w:rPr>
          <w:rFonts w:cs="Times New Roman"/>
          <w:lang w:val="hu-HU"/>
        </w:rPr>
      </w:pPr>
      <w:r>
        <w:rPr>
          <w:lang w:val="hu-HU"/>
        </w:rPr>
        <w:t xml:space="preserve">a projektek időközi és </w:t>
      </w:r>
      <w:proofErr w:type="spellStart"/>
      <w:r>
        <w:rPr>
          <w:lang w:val="hu-HU"/>
        </w:rPr>
        <w:t>záróbeszámolójának</w:t>
      </w:r>
      <w:proofErr w:type="spellEnd"/>
      <w:r>
        <w:rPr>
          <w:lang w:val="hu-HU"/>
        </w:rPr>
        <w:t xml:space="preserve"> bírálata kapcsán,</w:t>
      </w:r>
    </w:p>
    <w:p w:rsidR="00802E92" w:rsidRPr="00592992" w:rsidRDefault="00802E92" w:rsidP="004625F5">
      <w:pPr>
        <w:pStyle w:val="Listaszerbekezds"/>
        <w:numPr>
          <w:ilvl w:val="0"/>
          <w:numId w:val="2"/>
        </w:numPr>
        <w:jc w:val="both"/>
        <w:rPr>
          <w:rFonts w:cs="Times New Roman"/>
          <w:lang w:val="hu-HU"/>
        </w:rPr>
      </w:pPr>
      <w:r>
        <w:rPr>
          <w:lang w:val="hu-HU"/>
        </w:rPr>
        <w:t>értékelés és javaslattétel</w:t>
      </w:r>
    </w:p>
    <w:p w:rsidR="00802E92" w:rsidRPr="00592992" w:rsidRDefault="00802E92" w:rsidP="004625F5">
      <w:pPr>
        <w:pStyle w:val="Listaszerbekezds"/>
        <w:numPr>
          <w:ilvl w:val="1"/>
          <w:numId w:val="2"/>
        </w:numPr>
        <w:jc w:val="both"/>
        <w:rPr>
          <w:rFonts w:cs="Times New Roman"/>
          <w:lang w:val="hu-HU"/>
        </w:rPr>
      </w:pPr>
      <w:r>
        <w:rPr>
          <w:lang w:val="hu-HU"/>
        </w:rPr>
        <w:t>a szerződés-előkészítés folyamatában,</w:t>
      </w:r>
    </w:p>
    <w:p w:rsidR="00802E92" w:rsidRPr="00592992" w:rsidRDefault="00802E92" w:rsidP="004625F5">
      <w:pPr>
        <w:pStyle w:val="Listaszerbekezds"/>
        <w:numPr>
          <w:ilvl w:val="1"/>
          <w:numId w:val="2"/>
        </w:numPr>
        <w:jc w:val="both"/>
        <w:rPr>
          <w:rFonts w:cs="Times New Roman"/>
          <w:lang w:val="hu-HU"/>
        </w:rPr>
      </w:pPr>
      <w:r>
        <w:rPr>
          <w:lang w:val="hu-HU"/>
        </w:rPr>
        <w:t>a projektek megvalósításának nyomon követése során.</w:t>
      </w:r>
    </w:p>
    <w:p w:rsidR="00802E92" w:rsidRDefault="00802E92" w:rsidP="00AB164D">
      <w:pPr>
        <w:spacing w:before="120"/>
        <w:jc w:val="both"/>
        <w:rPr>
          <w:rFonts w:cs="Times New Roman"/>
          <w:lang w:val="hu-HU"/>
        </w:rPr>
      </w:pPr>
      <w:r>
        <w:rPr>
          <w:lang w:val="hu-HU"/>
        </w:rPr>
        <w:t xml:space="preserve">A szakértő közvetlenül a Tempus Közalapítvány számára végzi munkáját, a felkérésben megfogalmazottak, a </w:t>
      </w:r>
      <w:r w:rsidRPr="00592992">
        <w:rPr>
          <w:lang w:val="hu-HU"/>
        </w:rPr>
        <w:t>vállalkozói szerződés</w:t>
      </w:r>
      <w:r>
        <w:rPr>
          <w:lang w:val="hu-HU"/>
        </w:rPr>
        <w:t>ben</w:t>
      </w:r>
      <w:r w:rsidRPr="00592992">
        <w:rPr>
          <w:lang w:val="hu-HU"/>
        </w:rPr>
        <w:t xml:space="preserve"> </w:t>
      </w:r>
      <w:r>
        <w:rPr>
          <w:lang w:val="hu-HU"/>
        </w:rPr>
        <w:t>szereplő feltételek a bírálati folyamat és az ide kapcsolódó dokumentumokban szereplő elvárásoknak megfelelően.</w:t>
      </w:r>
      <w:r w:rsidRPr="00592992">
        <w:rPr>
          <w:lang w:val="hu-HU"/>
        </w:rPr>
        <w:t xml:space="preserve"> </w:t>
      </w:r>
    </w:p>
    <w:p w:rsidR="00802E92" w:rsidRDefault="00802E92" w:rsidP="007C1573">
      <w:pPr>
        <w:jc w:val="both"/>
        <w:rPr>
          <w:rFonts w:cs="Times New Roman"/>
          <w:lang w:val="hu-HU"/>
        </w:rPr>
      </w:pPr>
      <w:r w:rsidRPr="00592992">
        <w:rPr>
          <w:lang w:val="hu-HU"/>
        </w:rPr>
        <w:t xml:space="preserve">A pályázóval, projektgazdával a Tempus Közalapítvány áll szerződéses munkakapcsolatban. </w:t>
      </w:r>
    </w:p>
    <w:p w:rsidR="00802E92" w:rsidRDefault="00802E92" w:rsidP="007C1573">
      <w:pPr>
        <w:jc w:val="both"/>
        <w:rPr>
          <w:rFonts w:cs="Times New Roman"/>
          <w:lang w:val="hu-HU"/>
        </w:rPr>
      </w:pPr>
      <w:r w:rsidRPr="00592992">
        <w:rPr>
          <w:lang w:val="hu-HU"/>
        </w:rPr>
        <w:t>A szakértő véleményét az Tempus Közalapítvány</w:t>
      </w:r>
      <w:r>
        <w:rPr>
          <w:lang w:val="hu-HU"/>
        </w:rPr>
        <w:t xml:space="preserve"> számára</w:t>
      </w:r>
      <w:r w:rsidRPr="00592992">
        <w:rPr>
          <w:lang w:val="hu-HU"/>
        </w:rPr>
        <w:t xml:space="preserve"> fogalmazza meg, a Tempus Közalapítvány </w:t>
      </w:r>
      <w:r>
        <w:rPr>
          <w:lang w:val="hu-HU"/>
        </w:rPr>
        <w:t xml:space="preserve">a </w:t>
      </w:r>
      <w:r w:rsidRPr="00592992">
        <w:rPr>
          <w:lang w:val="hu-HU"/>
        </w:rPr>
        <w:t>saját álláspontját a szakértői vélemény figyelembe vételével alakítja ki, és fogalmazza meg a pályázó számára.</w:t>
      </w:r>
    </w:p>
    <w:p w:rsidR="00802E92" w:rsidRDefault="00802E92" w:rsidP="007C1573">
      <w:pPr>
        <w:jc w:val="both"/>
        <w:rPr>
          <w:rFonts w:cs="Times New Roman"/>
          <w:lang w:val="hu-HU"/>
        </w:rPr>
      </w:pPr>
      <w:r w:rsidRPr="00592992">
        <w:rPr>
          <w:lang w:val="hu-HU"/>
        </w:rPr>
        <w:t>A Tempus Közalapítvány joga és kötelessége, hogy a pályázót / projektgazdát tájékoztassa (pl. pályázati döntésről, illetve pályázatok, beszámolók bírálati eredményéről), esetleges módosítási, változtatási igénye</w:t>
      </w:r>
      <w:r>
        <w:rPr>
          <w:lang w:val="hu-HU"/>
        </w:rPr>
        <w:t>k</w:t>
      </w:r>
      <w:r w:rsidRPr="00592992">
        <w:rPr>
          <w:lang w:val="hu-HU"/>
        </w:rPr>
        <w:t>ről egyeztessen.</w:t>
      </w:r>
    </w:p>
    <w:p w:rsidR="00802E92" w:rsidRPr="00592992" w:rsidRDefault="00802E92" w:rsidP="00CE70C1">
      <w:pPr>
        <w:spacing w:after="120"/>
        <w:jc w:val="both"/>
        <w:rPr>
          <w:rFonts w:cs="Times New Roman"/>
          <w:lang w:val="hu-HU"/>
        </w:rPr>
      </w:pPr>
    </w:p>
    <w:p w:rsidR="00802E92" w:rsidRPr="00592992" w:rsidRDefault="00802E92" w:rsidP="00CE70C1">
      <w:pPr>
        <w:spacing w:before="240"/>
        <w:jc w:val="both"/>
        <w:rPr>
          <w:rFonts w:cs="Times New Roman"/>
          <w:b/>
          <w:bCs/>
          <w:lang w:val="hu-HU"/>
        </w:rPr>
      </w:pPr>
      <w:r>
        <w:rPr>
          <w:b/>
          <w:bCs/>
          <w:lang w:val="hu-HU"/>
        </w:rPr>
        <w:t>A közreműködő szakértő kiválasztása</w:t>
      </w:r>
    </w:p>
    <w:p w:rsidR="00802E92" w:rsidRPr="00592992" w:rsidRDefault="00802E92" w:rsidP="004625F5">
      <w:pPr>
        <w:spacing w:after="120"/>
        <w:jc w:val="both"/>
        <w:rPr>
          <w:lang w:val="hu-HU"/>
        </w:rPr>
      </w:pPr>
      <w:r>
        <w:rPr>
          <w:lang w:val="hu-HU"/>
        </w:rPr>
        <w:t xml:space="preserve">A Tempus Közalapítvány évente felhívást jelentet meg azzal a céllal, hogy </w:t>
      </w:r>
      <w:r w:rsidRPr="00592992">
        <w:rPr>
          <w:lang w:val="hu-HU"/>
        </w:rPr>
        <w:t>széleskörű együttműködő szakértői kör</w:t>
      </w:r>
      <w:r>
        <w:rPr>
          <w:lang w:val="hu-HU"/>
        </w:rPr>
        <w:t xml:space="preserve">t alakítson ki, illetve </w:t>
      </w:r>
      <w:r w:rsidRPr="00592992">
        <w:rPr>
          <w:lang w:val="hu-HU"/>
        </w:rPr>
        <w:t>bővítse</w:t>
      </w:r>
      <w:r>
        <w:rPr>
          <w:lang w:val="hu-HU"/>
        </w:rPr>
        <w:t xml:space="preserve"> és frissítse a </w:t>
      </w:r>
      <w:proofErr w:type="gramStart"/>
      <w:r>
        <w:rPr>
          <w:lang w:val="hu-HU"/>
        </w:rPr>
        <w:t>meglévő</w:t>
      </w:r>
      <w:proofErr w:type="gramEnd"/>
      <w:r>
        <w:rPr>
          <w:lang w:val="hu-HU"/>
        </w:rPr>
        <w:t xml:space="preserve"> szakértői adatbázisát</w:t>
      </w:r>
      <w:r w:rsidRPr="00592992">
        <w:rPr>
          <w:lang w:val="hu-HU"/>
        </w:rPr>
        <w:t>. A benyújtott pályázatok bírálata alapján a Tempus Közalapítvány kuratóriuma dönt a szakértői körbe való felvételről.</w:t>
      </w:r>
    </w:p>
    <w:p w:rsidR="00802E92" w:rsidRPr="00592992" w:rsidRDefault="00802E92" w:rsidP="004625F5">
      <w:pPr>
        <w:spacing w:after="120"/>
        <w:jc w:val="both"/>
        <w:rPr>
          <w:rFonts w:cs="Times New Roman"/>
          <w:lang w:val="hu-HU"/>
        </w:rPr>
      </w:pPr>
      <w:r w:rsidRPr="00592992">
        <w:rPr>
          <w:lang w:val="hu-HU"/>
        </w:rPr>
        <w:t xml:space="preserve">Az eseti munkákra a Tempus Közalapítvány </w:t>
      </w:r>
      <w:r>
        <w:rPr>
          <w:lang w:val="hu-HU"/>
        </w:rPr>
        <w:t xml:space="preserve">érintett egységének csoportvezetője </w:t>
      </w:r>
      <w:r w:rsidRPr="00592992">
        <w:rPr>
          <w:lang w:val="hu-HU"/>
        </w:rPr>
        <w:t>választja</w:t>
      </w:r>
      <w:r>
        <w:rPr>
          <w:lang w:val="hu-HU"/>
        </w:rPr>
        <w:t xml:space="preserve"> ki a felkért szakértőket, </w:t>
      </w:r>
      <w:r w:rsidRPr="00592992">
        <w:rPr>
          <w:lang w:val="hu-HU"/>
        </w:rPr>
        <w:t>az eljárásrendbeli tájékozottság és a szakmai tapasztalatok alapján</w:t>
      </w:r>
      <w:r>
        <w:rPr>
          <w:lang w:val="hu-HU"/>
        </w:rPr>
        <w:t xml:space="preserve">, az összeférhetetlenség elkerülése elvének szem előtt tartásával. </w:t>
      </w:r>
    </w:p>
    <w:p w:rsidR="00802E92" w:rsidRPr="00592992" w:rsidRDefault="00802E92" w:rsidP="004625F5">
      <w:pPr>
        <w:jc w:val="both"/>
        <w:rPr>
          <w:rFonts w:cs="Times New Roman"/>
          <w:b/>
          <w:bCs/>
          <w:lang w:val="hu-HU"/>
        </w:rPr>
      </w:pPr>
      <w:r>
        <w:rPr>
          <w:b/>
          <w:bCs/>
          <w:lang w:val="hu-HU"/>
        </w:rPr>
        <w:t>Az eseti együttműködés feltétele minden esetben a függetlenség / pártatlanság.</w:t>
      </w:r>
    </w:p>
    <w:p w:rsidR="00802E92" w:rsidRPr="00592992" w:rsidRDefault="00802E92" w:rsidP="004625F5">
      <w:p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 xml:space="preserve">Kizáró tényező: </w:t>
      </w:r>
    </w:p>
    <w:p w:rsidR="00802E92" w:rsidRPr="00592992" w:rsidRDefault="00802E92" w:rsidP="004625F5">
      <w:pPr>
        <w:pStyle w:val="Listaszerbekezds"/>
        <w:numPr>
          <w:ilvl w:val="0"/>
          <w:numId w:val="3"/>
        </w:numPr>
        <w:jc w:val="both"/>
        <w:rPr>
          <w:rFonts w:cs="Times New Roman"/>
          <w:lang w:val="hu-HU"/>
        </w:rPr>
      </w:pPr>
      <w:r>
        <w:rPr>
          <w:lang w:val="hu-HU"/>
        </w:rPr>
        <w:t>ha a szakértő pártatlanságát személyes kapcsolat, korábbi vagy fennálló formális illetve informális munkakapcsolat akadályozza,</w:t>
      </w:r>
    </w:p>
    <w:p w:rsidR="00802E92" w:rsidRPr="00592992" w:rsidRDefault="00802E92" w:rsidP="004625F5">
      <w:pPr>
        <w:pStyle w:val="Listaszerbekezds"/>
        <w:numPr>
          <w:ilvl w:val="0"/>
          <w:numId w:val="3"/>
        </w:numPr>
        <w:jc w:val="both"/>
        <w:rPr>
          <w:rFonts w:cs="Times New Roman"/>
          <w:lang w:val="hu-HU"/>
        </w:rPr>
      </w:pPr>
      <w:r>
        <w:rPr>
          <w:lang w:val="hu-HU"/>
        </w:rPr>
        <w:t xml:space="preserve">minden olyan eset, mely a </w:t>
      </w:r>
      <w:r w:rsidRPr="007C1573">
        <w:rPr>
          <w:lang w:val="hu-HU"/>
        </w:rPr>
        <w:t>Tempus Közalapítvány</w:t>
      </w:r>
      <w:r>
        <w:rPr>
          <w:lang w:val="hu-HU"/>
        </w:rPr>
        <w:t xml:space="preserve"> és/vagy a szakértő megítélése szerint lehetetlenné teszi független vélemény megfogalmazását.</w:t>
      </w:r>
    </w:p>
    <w:p w:rsidR="00802E92" w:rsidRPr="00592992" w:rsidRDefault="00802E92" w:rsidP="00141F0B">
      <w:p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 xml:space="preserve">A pályázatok bírálata során </w:t>
      </w:r>
      <w:r w:rsidRPr="00453FCE">
        <w:rPr>
          <w:b/>
          <w:bCs/>
          <w:lang w:val="hu-HU"/>
        </w:rPr>
        <w:t>további kizáró feltétel</w:t>
      </w:r>
      <w:r>
        <w:rPr>
          <w:lang w:val="hu-HU"/>
        </w:rPr>
        <w:t>, ha a szakértő az adott felhíváshoz kapcsolódó pályázat kidolgozásában formálisan vagy informálisan közreműködött.</w:t>
      </w:r>
    </w:p>
    <w:p w:rsidR="00802E92" w:rsidRDefault="00802E92" w:rsidP="004625F5">
      <w:pPr>
        <w:jc w:val="both"/>
        <w:rPr>
          <w:rFonts w:cs="Times New Roman"/>
          <w:lang w:val="hu-HU"/>
        </w:rPr>
      </w:pPr>
    </w:p>
    <w:p w:rsidR="00802E92" w:rsidRPr="00592992" w:rsidRDefault="00802E92" w:rsidP="004625F5">
      <w:pPr>
        <w:jc w:val="both"/>
        <w:rPr>
          <w:lang w:val="hu-HU"/>
        </w:rPr>
      </w:pPr>
      <w:r>
        <w:rPr>
          <w:lang w:val="hu-HU"/>
        </w:rPr>
        <w:lastRenderedPageBreak/>
        <w:t xml:space="preserve">A pártatlanság fennállásáról a </w:t>
      </w:r>
      <w:r w:rsidRPr="00592992">
        <w:rPr>
          <w:lang w:val="hu-HU"/>
        </w:rPr>
        <w:t xml:space="preserve">Tempus Közalapítvány munkatársai </w:t>
      </w:r>
      <w:r w:rsidRPr="00696168">
        <w:rPr>
          <w:lang w:val="hu-HU"/>
        </w:rPr>
        <w:t>szóbeli nyilatkozatot kérnek a szakértőtől az eseti munkára való felkérés előzetes egyeztetése során, melyet a szakértő a szerződés aláírásával írásban erősít meg. Pályázatok bírálata esetén a Tempus Közalapítvány a konkrét felkérést megelőzően külön nyilatkozatot kér a pártatlanság eseteiről a bírálatra kiadott pályázatok kapcsán.</w:t>
      </w:r>
    </w:p>
    <w:p w:rsidR="00802E92" w:rsidRPr="00592992" w:rsidRDefault="00802E92" w:rsidP="004625F5">
      <w:pPr>
        <w:jc w:val="both"/>
        <w:rPr>
          <w:lang w:val="hu-HU"/>
        </w:rPr>
      </w:pPr>
    </w:p>
    <w:p w:rsidR="00802E92" w:rsidRPr="00592992" w:rsidRDefault="00802E92" w:rsidP="00271559">
      <w:pPr>
        <w:jc w:val="center"/>
        <w:rPr>
          <w:rFonts w:cs="Times New Roman"/>
          <w:b/>
          <w:bCs/>
          <w:lang w:val="hu-HU"/>
        </w:rPr>
      </w:pPr>
      <w:r>
        <w:rPr>
          <w:b/>
          <w:bCs/>
          <w:lang w:val="hu-HU"/>
        </w:rPr>
        <w:t>Egyéb szakértői tevékenységhez kapcsolódó kötelezettségek</w:t>
      </w:r>
    </w:p>
    <w:p w:rsidR="00802E92" w:rsidRPr="00592992" w:rsidRDefault="00802E92" w:rsidP="004625F5">
      <w:pPr>
        <w:jc w:val="both"/>
        <w:rPr>
          <w:lang w:val="hu-HU"/>
        </w:rPr>
      </w:pPr>
      <w:r w:rsidRPr="00592992">
        <w:rPr>
          <w:lang w:val="hu-HU"/>
        </w:rPr>
        <w:t xml:space="preserve">Szellemi termék létrehozása </w:t>
      </w:r>
      <w:r>
        <w:rPr>
          <w:lang w:val="hu-HU"/>
        </w:rPr>
        <w:t>(pl. s</w:t>
      </w:r>
      <w:r w:rsidRPr="00592992">
        <w:rPr>
          <w:lang w:val="hu-HU"/>
        </w:rPr>
        <w:t xml:space="preserve">zakmai anyag </w:t>
      </w:r>
      <w:r>
        <w:rPr>
          <w:lang w:val="hu-HU"/>
        </w:rPr>
        <w:t>készítése</w:t>
      </w:r>
      <w:r w:rsidRPr="00592992">
        <w:rPr>
          <w:lang w:val="hu-HU"/>
        </w:rPr>
        <w:t>, kutatás elvégzése, cikk megírása,</w:t>
      </w:r>
      <w:r>
        <w:rPr>
          <w:lang w:val="hu-HU"/>
        </w:rPr>
        <w:t xml:space="preserve"> előadás megtartása)</w:t>
      </w:r>
      <w:r w:rsidRPr="00592992">
        <w:rPr>
          <w:lang w:val="hu-HU"/>
        </w:rPr>
        <w:t xml:space="preserve"> esetén a szakértő nyilatkozik arról, hogy a saját szellemi termékét létrehozza, és díjazás fejében átadja a Tempus Közalapítványnak, mint megrendelőnek. A Tempus Közalapítvány a továbbiakban a létrehozott anyagot a szakértő nevének feltüntetésével használja.</w:t>
      </w:r>
    </w:p>
    <w:p w:rsidR="00802E92" w:rsidRPr="00592992" w:rsidRDefault="00802E92" w:rsidP="004625F5">
      <w:pPr>
        <w:jc w:val="both"/>
        <w:rPr>
          <w:rFonts w:cs="Times New Roman"/>
          <w:lang w:val="hu-HU"/>
        </w:rPr>
      </w:pPr>
      <w:r w:rsidRPr="00592992">
        <w:rPr>
          <w:lang w:val="hu-HU"/>
        </w:rPr>
        <w:t>A szakértő nyilatkozik arról, hogy tudomása szerint a megrendelt anyag átadásakor az anyagra más, harmadik személy szerzői joga n</w:t>
      </w:r>
      <w:r>
        <w:rPr>
          <w:lang w:val="hu-HU"/>
        </w:rPr>
        <w:t>em áll fent</w:t>
      </w:r>
    </w:p>
    <w:p w:rsidR="00802E92" w:rsidRPr="00592992" w:rsidRDefault="00802E92" w:rsidP="004625F5">
      <w:pPr>
        <w:jc w:val="both"/>
        <w:rPr>
          <w:lang w:val="hu-HU"/>
        </w:rPr>
      </w:pPr>
      <w:r w:rsidRPr="00592992">
        <w:rPr>
          <w:lang w:val="hu-HU"/>
        </w:rPr>
        <w:t xml:space="preserve">Konferencián, előadáson, a Tempus Közalapítvány </w:t>
      </w:r>
      <w:r>
        <w:rPr>
          <w:lang w:val="hu-HU"/>
        </w:rPr>
        <w:t>által felkért szakértőként</w:t>
      </w:r>
      <w:r w:rsidRPr="00592992">
        <w:rPr>
          <w:lang w:val="hu-HU"/>
        </w:rPr>
        <w:t xml:space="preserve"> szakmai tudása legjavát nyújtja. A rábízott technikai eszközök épségét óvja, egyéb a rendelkezésére bocsájtott dokumentumokat hiánytalanul visszajuttatja a közalapítvány munkatársainak.</w:t>
      </w:r>
    </w:p>
    <w:p w:rsidR="00802E92" w:rsidRDefault="00802E92" w:rsidP="00271559">
      <w:pPr>
        <w:spacing w:before="120"/>
        <w:jc w:val="center"/>
        <w:rPr>
          <w:rFonts w:cs="Times New Roman"/>
          <w:b/>
          <w:bCs/>
          <w:lang w:val="hu-HU"/>
        </w:rPr>
      </w:pPr>
    </w:p>
    <w:p w:rsidR="00802E92" w:rsidRPr="00592992" w:rsidRDefault="00802E92" w:rsidP="00271559">
      <w:pPr>
        <w:spacing w:before="120"/>
        <w:jc w:val="center"/>
        <w:rPr>
          <w:rFonts w:cs="Times New Roman"/>
          <w:b/>
          <w:bCs/>
          <w:lang w:val="hu-HU"/>
        </w:rPr>
      </w:pPr>
      <w:r w:rsidRPr="00592992">
        <w:rPr>
          <w:b/>
          <w:bCs/>
          <w:lang w:val="hu-HU"/>
        </w:rPr>
        <w:t>Általános feladatok és kötelezettségek</w:t>
      </w:r>
    </w:p>
    <w:p w:rsidR="00802E92" w:rsidRPr="00592992" w:rsidRDefault="00802E92" w:rsidP="004625F5">
      <w:pPr>
        <w:ind w:left="360"/>
        <w:jc w:val="both"/>
        <w:rPr>
          <w:rFonts w:cs="Times New Roman"/>
          <w:lang w:val="hu-HU"/>
        </w:rPr>
      </w:pPr>
    </w:p>
    <w:p w:rsidR="00802E92" w:rsidRPr="00592992" w:rsidRDefault="00802E92" w:rsidP="00535054">
      <w:pPr>
        <w:ind w:left="360" w:hanging="360"/>
        <w:jc w:val="both"/>
        <w:rPr>
          <w:rFonts w:cs="Times New Roman"/>
          <w:b/>
          <w:bCs/>
          <w:lang w:val="hu-HU"/>
        </w:rPr>
      </w:pPr>
      <w:r w:rsidRPr="00592992">
        <w:rPr>
          <w:b/>
          <w:bCs/>
          <w:lang w:val="hu-HU"/>
        </w:rPr>
        <w:t xml:space="preserve">A </w:t>
      </w:r>
      <w:r w:rsidRPr="00453FCE">
        <w:rPr>
          <w:b/>
          <w:bCs/>
          <w:lang w:val="hu-HU"/>
        </w:rPr>
        <w:t>Tempus Közalapítvány</w:t>
      </w:r>
      <w:r w:rsidRPr="00592992">
        <w:rPr>
          <w:lang w:val="hu-HU"/>
        </w:rPr>
        <w:t xml:space="preserve"> 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 w:rsidRPr="00592992">
        <w:rPr>
          <w:lang w:val="hu-HU"/>
        </w:rPr>
        <w:t>a feladat elvégzéséhez szükséges dokumentumokat időben és hiánytalanul a szakértő rendelkezésére bocsátja,</w:t>
      </w:r>
    </w:p>
    <w:p w:rsidR="00802E92" w:rsidRPr="00C731B7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 w:rsidRPr="00592992">
        <w:rPr>
          <w:lang w:val="hu-HU"/>
        </w:rPr>
        <w:t>igény esetén további adatok</w:t>
      </w:r>
      <w:r>
        <w:rPr>
          <w:lang w:val="hu-HU"/>
        </w:rPr>
        <w:t>kal</w:t>
      </w:r>
      <w:r w:rsidRPr="00592992">
        <w:rPr>
          <w:lang w:val="hu-HU"/>
        </w:rPr>
        <w:t>, információk</w:t>
      </w:r>
      <w:r>
        <w:rPr>
          <w:lang w:val="hu-HU"/>
        </w:rPr>
        <w:t xml:space="preserve">kal látja el a </w:t>
      </w:r>
      <w:r w:rsidRPr="00592992">
        <w:rPr>
          <w:lang w:val="hu-HU"/>
        </w:rPr>
        <w:t>szakértő</w:t>
      </w:r>
      <w:r>
        <w:rPr>
          <w:lang w:val="hu-HU"/>
        </w:rPr>
        <w:t>t</w:t>
      </w:r>
      <w:r w:rsidRPr="00592992">
        <w:rPr>
          <w:lang w:val="hu-HU"/>
        </w:rPr>
        <w:t>,</w:t>
      </w:r>
    </w:p>
    <w:p w:rsidR="00C731B7" w:rsidRPr="00592992" w:rsidRDefault="00C731B7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>a teljesítés megkezdése előtt</w:t>
      </w:r>
      <w:r w:rsidR="00F06117">
        <w:rPr>
          <w:lang w:val="hu-HU"/>
        </w:rPr>
        <w:t xml:space="preserve"> legalább</w:t>
      </w:r>
      <w:r>
        <w:rPr>
          <w:lang w:val="hu-HU"/>
        </w:rPr>
        <w:t xml:space="preserve"> 1 héttel megküldi e</w:t>
      </w:r>
      <w:r w:rsidR="00913163">
        <w:rPr>
          <w:lang w:val="hu-HU"/>
        </w:rPr>
        <w:t>-</w:t>
      </w:r>
      <w:r>
        <w:rPr>
          <w:lang w:val="hu-HU"/>
        </w:rPr>
        <w:t>mailben vagy postán a</w:t>
      </w:r>
      <w:r w:rsidR="001F1328">
        <w:rPr>
          <w:lang w:val="hu-HU"/>
        </w:rPr>
        <w:t xml:space="preserve"> szakértőnek</w:t>
      </w:r>
      <w:r w:rsidR="00913163">
        <w:rPr>
          <w:lang w:val="hu-HU"/>
        </w:rPr>
        <w:t xml:space="preserve"> </w:t>
      </w:r>
      <w:r w:rsidR="001F1328">
        <w:rPr>
          <w:lang w:val="hu-HU"/>
        </w:rPr>
        <w:t xml:space="preserve">a </w:t>
      </w:r>
      <w:r>
        <w:rPr>
          <w:lang w:val="hu-HU"/>
        </w:rPr>
        <w:t>vonatkozó szerződés</w:t>
      </w:r>
      <w:r w:rsidR="001F1328">
        <w:rPr>
          <w:lang w:val="hu-HU"/>
        </w:rPr>
        <w:t>t - amennyiben a szakértő azt személyesen nem tudja aláírni</w:t>
      </w:r>
      <w:r w:rsidR="000E2B66">
        <w:rPr>
          <w:lang w:val="hu-HU"/>
        </w:rPr>
        <w:t xml:space="preserve"> az TKA székhelyén</w:t>
      </w:r>
      <w:r w:rsidR="001F1328">
        <w:rPr>
          <w:lang w:val="hu-HU"/>
        </w:rPr>
        <w:t xml:space="preserve"> a teljesítés megkezdése előtt. A szakértői szerződések meglétét az egyes csoportoknál az erre kijelölt munkatárs ellenőrzi</w:t>
      </w:r>
      <w:r w:rsidR="00AB796C">
        <w:rPr>
          <w:lang w:val="hu-HU"/>
        </w:rPr>
        <w:t>,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spacing w:after="120"/>
        <w:ind w:left="360"/>
        <w:jc w:val="both"/>
        <w:rPr>
          <w:rFonts w:cs="Times New Roman"/>
          <w:lang w:val="hu-HU"/>
        </w:rPr>
      </w:pPr>
      <w:r w:rsidRPr="00592992">
        <w:rPr>
          <w:lang w:val="hu-HU"/>
        </w:rPr>
        <w:t>a</w:t>
      </w:r>
      <w:r>
        <w:rPr>
          <w:lang w:val="hu-HU"/>
        </w:rPr>
        <w:t xml:space="preserve"> szerződés szerinti</w:t>
      </w:r>
      <w:r w:rsidRPr="00592992">
        <w:rPr>
          <w:lang w:val="hu-HU"/>
        </w:rPr>
        <w:t xml:space="preserve"> számla összegét</w:t>
      </w:r>
      <w:r>
        <w:rPr>
          <w:lang w:val="hu-HU"/>
        </w:rPr>
        <w:t xml:space="preserve">, az áfatörvény és számviteli törvény előírásainak megfelelő számla esetén, </w:t>
      </w:r>
      <w:r w:rsidRPr="00592992">
        <w:rPr>
          <w:lang w:val="hu-HU"/>
        </w:rPr>
        <w:t>annak kézhezvételét követő 30 napon belül a szakértő bankszámlájára átutalja.</w:t>
      </w:r>
    </w:p>
    <w:p w:rsidR="00802E92" w:rsidRDefault="00802E92" w:rsidP="00535054">
      <w:pPr>
        <w:ind w:left="360" w:hanging="360"/>
        <w:jc w:val="both"/>
        <w:rPr>
          <w:b/>
          <w:bCs/>
          <w:lang w:val="hu-HU"/>
        </w:rPr>
      </w:pPr>
      <w:r w:rsidRPr="00592992">
        <w:rPr>
          <w:rFonts w:ascii="Times New Roman" w:hAnsi="Times New Roman" w:cs="Times New Roman"/>
          <w:b/>
          <w:bCs/>
          <w:lang w:val="hu-HU"/>
        </w:rPr>
        <w:t xml:space="preserve">A </w:t>
      </w:r>
      <w:r w:rsidRPr="00592992">
        <w:rPr>
          <w:b/>
          <w:bCs/>
          <w:lang w:val="hu-HU"/>
        </w:rPr>
        <w:t>szakértő</w:t>
      </w:r>
    </w:p>
    <w:p w:rsidR="00391955" w:rsidRPr="00913163" w:rsidRDefault="00391955" w:rsidP="00913163">
      <w:pPr>
        <w:pStyle w:val="Listaszerbekezds"/>
        <w:numPr>
          <w:ilvl w:val="0"/>
          <w:numId w:val="3"/>
        </w:numPr>
        <w:ind w:left="360"/>
        <w:jc w:val="both"/>
        <w:rPr>
          <w:lang w:val="hu-HU"/>
        </w:rPr>
      </w:pPr>
      <w:proofErr w:type="gramStart"/>
      <w:r w:rsidRPr="00913163">
        <w:rPr>
          <w:lang w:val="hu-HU"/>
        </w:rPr>
        <w:t>köteles</w:t>
      </w:r>
      <w:proofErr w:type="gramEnd"/>
      <w:r w:rsidRPr="00913163">
        <w:rPr>
          <w:lang w:val="hu-HU"/>
        </w:rPr>
        <w:t xml:space="preserve"> </w:t>
      </w:r>
      <w:bookmarkStart w:id="0" w:name="_GoBack"/>
      <w:bookmarkEnd w:id="0"/>
      <w:r w:rsidRPr="00913163">
        <w:rPr>
          <w:lang w:val="hu-HU"/>
        </w:rPr>
        <w:t>a számára megküldött szerződést a teljesítés megkezdése előtt a Közalapítvány számára</w:t>
      </w:r>
      <w:r w:rsidR="000E2B66" w:rsidRPr="00913163">
        <w:rPr>
          <w:lang w:val="hu-HU"/>
        </w:rPr>
        <w:t xml:space="preserve"> aláírva</w:t>
      </w:r>
      <w:r w:rsidRPr="00913163">
        <w:rPr>
          <w:lang w:val="hu-HU"/>
        </w:rPr>
        <w:t xml:space="preserve"> visszajutta</w:t>
      </w:r>
      <w:r w:rsidR="00913163" w:rsidRPr="00913163">
        <w:rPr>
          <w:lang w:val="hu-HU"/>
        </w:rPr>
        <w:t>t</w:t>
      </w:r>
      <w:r w:rsidRPr="00913163">
        <w:rPr>
          <w:lang w:val="hu-HU"/>
        </w:rPr>
        <w:t>ni</w:t>
      </w:r>
      <w:r w:rsidR="00AB796C" w:rsidRPr="00913163">
        <w:rPr>
          <w:lang w:val="hu-HU"/>
        </w:rPr>
        <w:t>,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>köteles feladatát pontosan, lelkiismeretesen a megadott határidőre teljesíteni,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>a tudomására jutott adatokat kizárólag a feladat elvégzése érdekében használja,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>köteles a feladatához kapcsolódó jelszavakat, kódokat titkosan kezelni és gondoskodni arról, hogy azok más személy tudomására ne jussanak,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>köteles a feladatvégzése során tudomására jutott információkat, adatokat – különös tekintettel a személyes adatokra – bizalmasan kezelni, azokat illetéktelen személy számára semmilyen körülmények között nem adja ki,</w:t>
      </w:r>
    </w:p>
    <w:p w:rsidR="00802E92" w:rsidRPr="00592992" w:rsidRDefault="00802E92" w:rsidP="00535054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>köteles a dokumentációkat a bírálati folyamat befejeztével hiánytalanul visszaszolgáltatni,</w:t>
      </w:r>
    </w:p>
    <w:p w:rsidR="00C731B7" w:rsidRPr="00C731B7" w:rsidRDefault="00802E92" w:rsidP="00C731B7">
      <w:pPr>
        <w:pStyle w:val="Listaszerbekezds"/>
        <w:numPr>
          <w:ilvl w:val="0"/>
          <w:numId w:val="3"/>
        </w:numPr>
        <w:ind w:left="360"/>
        <w:jc w:val="both"/>
        <w:rPr>
          <w:rFonts w:cs="Times New Roman"/>
          <w:lang w:val="hu-HU"/>
        </w:rPr>
      </w:pPr>
      <w:r>
        <w:rPr>
          <w:lang w:val="hu-HU"/>
        </w:rPr>
        <w:t xml:space="preserve">tudomásul veszi, hogy a dokumentációk másolása, továbbadása, illetőleg az információk értékelési folyamaton kívüli felhasználása tilos. </w:t>
      </w:r>
    </w:p>
    <w:p w:rsidR="00802E92" w:rsidRPr="00592992" w:rsidRDefault="00802E92" w:rsidP="004625F5">
      <w:pPr>
        <w:jc w:val="both"/>
        <w:rPr>
          <w:rFonts w:cs="Times New Roman"/>
          <w:lang w:val="hu-HU"/>
        </w:rPr>
      </w:pPr>
    </w:p>
    <w:sectPr w:rsidR="00802E92" w:rsidRPr="00592992" w:rsidSect="00692927">
      <w:headerReference w:type="default" r:id="rId8"/>
      <w:pgSz w:w="11900" w:h="16840"/>
      <w:pgMar w:top="1276" w:right="141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17" w:rsidRDefault="00F06117" w:rsidP="008870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6117" w:rsidRDefault="00F06117" w:rsidP="008870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17" w:rsidRDefault="00F06117" w:rsidP="008870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6117" w:rsidRDefault="00F06117" w:rsidP="008870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17" w:rsidRDefault="00F06117" w:rsidP="0028717A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7DDE"/>
    <w:multiLevelType w:val="hybridMultilevel"/>
    <w:tmpl w:val="E14A6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46201"/>
    <w:multiLevelType w:val="hybridMultilevel"/>
    <w:tmpl w:val="36B2A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ED4E30"/>
    <w:multiLevelType w:val="hybridMultilevel"/>
    <w:tmpl w:val="A552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241AB"/>
    <w:multiLevelType w:val="hybridMultilevel"/>
    <w:tmpl w:val="14381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458B2"/>
    <w:multiLevelType w:val="hybridMultilevel"/>
    <w:tmpl w:val="DCB8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131C1"/>
    <w:multiLevelType w:val="hybridMultilevel"/>
    <w:tmpl w:val="107EF1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753"/>
    <w:rsid w:val="00006299"/>
    <w:rsid w:val="0000753F"/>
    <w:rsid w:val="000236C3"/>
    <w:rsid w:val="000A122E"/>
    <w:rsid w:val="000A50FB"/>
    <w:rsid w:val="000B345B"/>
    <w:rsid w:val="000B585F"/>
    <w:rsid w:val="000B5D6F"/>
    <w:rsid w:val="000D1FCA"/>
    <w:rsid w:val="000E2B66"/>
    <w:rsid w:val="000F4DB1"/>
    <w:rsid w:val="00130B1C"/>
    <w:rsid w:val="0014089D"/>
    <w:rsid w:val="00141F0B"/>
    <w:rsid w:val="00151F1C"/>
    <w:rsid w:val="00157862"/>
    <w:rsid w:val="00166FE4"/>
    <w:rsid w:val="001E7649"/>
    <w:rsid w:val="001F1328"/>
    <w:rsid w:val="002069FF"/>
    <w:rsid w:val="002553BD"/>
    <w:rsid w:val="00271559"/>
    <w:rsid w:val="0028717A"/>
    <w:rsid w:val="0029266D"/>
    <w:rsid w:val="002D29F3"/>
    <w:rsid w:val="002F3269"/>
    <w:rsid w:val="003103CF"/>
    <w:rsid w:val="0031367A"/>
    <w:rsid w:val="00354CEE"/>
    <w:rsid w:val="003816B9"/>
    <w:rsid w:val="00390878"/>
    <w:rsid w:val="00391955"/>
    <w:rsid w:val="00391F2A"/>
    <w:rsid w:val="003A3FC8"/>
    <w:rsid w:val="003B21A2"/>
    <w:rsid w:val="003C42D1"/>
    <w:rsid w:val="0044451B"/>
    <w:rsid w:val="00453FCE"/>
    <w:rsid w:val="004625F5"/>
    <w:rsid w:val="004744BC"/>
    <w:rsid w:val="00490E1E"/>
    <w:rsid w:val="00494234"/>
    <w:rsid w:val="004B146A"/>
    <w:rsid w:val="004E43D0"/>
    <w:rsid w:val="004F3278"/>
    <w:rsid w:val="00535054"/>
    <w:rsid w:val="00565BAB"/>
    <w:rsid w:val="00573565"/>
    <w:rsid w:val="00592992"/>
    <w:rsid w:val="005A47B5"/>
    <w:rsid w:val="005D7892"/>
    <w:rsid w:val="00603DED"/>
    <w:rsid w:val="00610478"/>
    <w:rsid w:val="006157A3"/>
    <w:rsid w:val="00673109"/>
    <w:rsid w:val="00676E84"/>
    <w:rsid w:val="00685FFB"/>
    <w:rsid w:val="00687172"/>
    <w:rsid w:val="00692927"/>
    <w:rsid w:val="00696168"/>
    <w:rsid w:val="006C547C"/>
    <w:rsid w:val="006F04B8"/>
    <w:rsid w:val="00703C47"/>
    <w:rsid w:val="00710331"/>
    <w:rsid w:val="00730A98"/>
    <w:rsid w:val="00751C85"/>
    <w:rsid w:val="007671E6"/>
    <w:rsid w:val="007A092F"/>
    <w:rsid w:val="007C1573"/>
    <w:rsid w:val="007D4EC4"/>
    <w:rsid w:val="007F0525"/>
    <w:rsid w:val="0080080C"/>
    <w:rsid w:val="00802E92"/>
    <w:rsid w:val="0085424E"/>
    <w:rsid w:val="00880B9D"/>
    <w:rsid w:val="00882E0D"/>
    <w:rsid w:val="00887003"/>
    <w:rsid w:val="008D6B1D"/>
    <w:rsid w:val="00913163"/>
    <w:rsid w:val="00965AA7"/>
    <w:rsid w:val="009A1002"/>
    <w:rsid w:val="009A4B4D"/>
    <w:rsid w:val="009A73E7"/>
    <w:rsid w:val="00A31D07"/>
    <w:rsid w:val="00AB164D"/>
    <w:rsid w:val="00AB796C"/>
    <w:rsid w:val="00AC5469"/>
    <w:rsid w:val="00AD3CCB"/>
    <w:rsid w:val="00AD536C"/>
    <w:rsid w:val="00AE0D05"/>
    <w:rsid w:val="00AE3753"/>
    <w:rsid w:val="00AF6C81"/>
    <w:rsid w:val="00B00155"/>
    <w:rsid w:val="00B4394D"/>
    <w:rsid w:val="00B45326"/>
    <w:rsid w:val="00B729CF"/>
    <w:rsid w:val="00B9653A"/>
    <w:rsid w:val="00BB57A5"/>
    <w:rsid w:val="00BF1399"/>
    <w:rsid w:val="00BF7143"/>
    <w:rsid w:val="00C67DD4"/>
    <w:rsid w:val="00C72BD4"/>
    <w:rsid w:val="00C731B7"/>
    <w:rsid w:val="00CB1BD0"/>
    <w:rsid w:val="00CB4699"/>
    <w:rsid w:val="00CE70C1"/>
    <w:rsid w:val="00D254B3"/>
    <w:rsid w:val="00D33C48"/>
    <w:rsid w:val="00D64E99"/>
    <w:rsid w:val="00D8378D"/>
    <w:rsid w:val="00DE1AFC"/>
    <w:rsid w:val="00DE2CBD"/>
    <w:rsid w:val="00DF7C70"/>
    <w:rsid w:val="00E17A1B"/>
    <w:rsid w:val="00E22B9B"/>
    <w:rsid w:val="00E22C7C"/>
    <w:rsid w:val="00E55B09"/>
    <w:rsid w:val="00E815A9"/>
    <w:rsid w:val="00E955CA"/>
    <w:rsid w:val="00E96B5F"/>
    <w:rsid w:val="00EB43ED"/>
    <w:rsid w:val="00ED5058"/>
    <w:rsid w:val="00EE5BB9"/>
    <w:rsid w:val="00F06117"/>
    <w:rsid w:val="00F0712E"/>
    <w:rsid w:val="00F65F59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DB1"/>
    <w:rPr>
      <w:rFonts w:cs="Cambria"/>
      <w:sz w:val="24"/>
      <w:szCs w:val="24"/>
      <w:lang w:val="cs-CZ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F3278"/>
    <w:rPr>
      <w:rFonts w:ascii="Tahoma" w:hAnsi="Tahoma" w:cs="Tahoma"/>
      <w:sz w:val="16"/>
      <w:szCs w:val="16"/>
      <w:lang w:val="hu-HU"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F7C70"/>
    <w:rPr>
      <w:rFonts w:ascii="Times New Roman" w:hAnsi="Times New Roman" w:cs="Times New Roman"/>
      <w:sz w:val="2"/>
      <w:szCs w:val="2"/>
      <w:lang w:val="cs-CZ" w:eastAsia="en-US"/>
    </w:rPr>
  </w:style>
  <w:style w:type="paragraph" w:styleId="Listaszerbekezds">
    <w:name w:val="List Paragraph"/>
    <w:basedOn w:val="Norml"/>
    <w:uiPriority w:val="99"/>
    <w:qFormat/>
    <w:rsid w:val="00AE3753"/>
    <w:pPr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rsid w:val="00887003"/>
    <w:rPr>
      <w:rFonts w:ascii="Times New Roman" w:hAnsi="Times New Roman" w:cs="Times New Roman"/>
      <w:sz w:val="20"/>
      <w:szCs w:val="20"/>
      <w:lang w:val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87003"/>
    <w:rPr>
      <w:rFonts w:ascii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rsid w:val="00887003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rsid w:val="00AF6C81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AF6C81"/>
    <w:rPr>
      <w:rFonts w:cs="Times New Roman"/>
      <w:color w:val="800080"/>
      <w:u w:val="single"/>
    </w:rPr>
  </w:style>
  <w:style w:type="character" w:styleId="Jegyzethivatkozs">
    <w:name w:val="annotation reference"/>
    <w:basedOn w:val="Bekezdsalapbettpusa"/>
    <w:uiPriority w:val="99"/>
    <w:semiHidden/>
    <w:rsid w:val="007D4EC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7D4E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573565"/>
    <w:rPr>
      <w:rFonts w:cs="Times New Roman"/>
      <w:sz w:val="20"/>
      <w:szCs w:val="20"/>
      <w:lang w:val="cs-CZ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D4E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573565"/>
    <w:rPr>
      <w:rFonts w:cs="Times New Roman"/>
      <w:b/>
      <w:bCs/>
      <w:sz w:val="20"/>
      <w:szCs w:val="20"/>
      <w:lang w:val="cs-CZ" w:eastAsia="en-US"/>
    </w:rPr>
  </w:style>
  <w:style w:type="paragraph" w:styleId="lfej">
    <w:name w:val="header"/>
    <w:basedOn w:val="Norml"/>
    <w:link w:val="lfejChar"/>
    <w:uiPriority w:val="99"/>
    <w:rsid w:val="002871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Bekezdsalapbettpusa"/>
    <w:uiPriority w:val="99"/>
    <w:semiHidden/>
    <w:locked/>
    <w:rsid w:val="00D254B3"/>
    <w:rPr>
      <w:rFonts w:cs="Cambria"/>
      <w:sz w:val="24"/>
      <w:szCs w:val="24"/>
      <w:lang w:val="cs-CZ" w:eastAsia="en-US"/>
    </w:rPr>
  </w:style>
  <w:style w:type="paragraph" w:styleId="llb">
    <w:name w:val="footer"/>
    <w:basedOn w:val="Norml"/>
    <w:link w:val="llbChar"/>
    <w:uiPriority w:val="99"/>
    <w:rsid w:val="002871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D254B3"/>
    <w:rPr>
      <w:rFonts w:cs="Cambria"/>
      <w:sz w:val="24"/>
      <w:szCs w:val="24"/>
      <w:lang w:val="cs-CZ"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28717A"/>
    <w:rPr>
      <w:rFonts w:ascii="Cambria" w:eastAsia="MS ??" w:hAnsi="Cambria" w:cs="Cambria"/>
      <w:sz w:val="24"/>
      <w:szCs w:val="24"/>
      <w:lang w:val="cs-CZ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F7B29EDB</Template>
  <TotalTime>46</TotalTime>
  <Pages>2</Pages>
  <Words>687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Szakértői együttműködés részletezése</vt:lpstr>
    </vt:vector>
  </TitlesOfParts>
  <Company>Tempus Közalapítvány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Szakértői együttműködés részletezése</dc:title>
  <dc:subject/>
  <dc:creator>Ilona Jakab Baján</dc:creator>
  <cp:keywords/>
  <dc:description/>
  <cp:lastModifiedBy>Horváth Beáta</cp:lastModifiedBy>
  <cp:revision>16</cp:revision>
  <cp:lastPrinted>2012-06-04T10:43:00Z</cp:lastPrinted>
  <dcterms:created xsi:type="dcterms:W3CDTF">2012-01-19T14:50:00Z</dcterms:created>
  <dcterms:modified xsi:type="dcterms:W3CDTF">2012-06-28T07:40:00Z</dcterms:modified>
</cp:coreProperties>
</file>